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3A5834">
            <w:pPr>
              <w:rPr>
                <w:rStyle w:val="Firstpagetablebold"/>
              </w:rPr>
            </w:pPr>
            <w:r w:rsidRPr="00F95BC9">
              <w:rPr>
                <w:rStyle w:val="Firstpagetablebold"/>
              </w:rPr>
              <w:t>C</w:t>
            </w:r>
            <w:r w:rsidR="003A5834">
              <w:rPr>
                <w:rStyle w:val="Firstpagetablebold"/>
              </w:rPr>
              <w:t>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D6ADF" w:rsidP="003D6ADF">
            <w:pPr>
              <w:rPr>
                <w:b/>
              </w:rPr>
            </w:pPr>
            <w:r>
              <w:rPr>
                <w:rStyle w:val="Firstpagetablebold"/>
              </w:rPr>
              <w:t>3</w:t>
            </w:r>
            <w:r w:rsidR="003A5834">
              <w:rPr>
                <w:rStyle w:val="Firstpagetablebold"/>
              </w:rPr>
              <w:t xml:space="preserve"> October </w:t>
            </w:r>
            <w:r w:rsidR="00614848">
              <w:rPr>
                <w:rStyle w:val="Firstpagetablebold"/>
              </w:rPr>
              <w:t>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D6ADF" w:rsidP="00532B18">
            <w:pPr>
              <w:rPr>
                <w:rStyle w:val="Firstpagetablebold"/>
              </w:rPr>
            </w:pPr>
            <w:r>
              <w:rPr>
                <w:rStyle w:val="Firstpagetablebold"/>
              </w:rPr>
              <w:t xml:space="preserve">Floyds Row – Single Homelessness Engagement and Assessment </w:t>
            </w:r>
            <w:r w:rsidR="00CB0338">
              <w:rPr>
                <w:rStyle w:val="Firstpagetablebold"/>
              </w:rPr>
              <w:t>C</w:t>
            </w:r>
            <w:r>
              <w:rPr>
                <w:rStyle w:val="Firstpagetablebold"/>
              </w:rPr>
              <w:t xml:space="preserve">entre – </w:t>
            </w:r>
            <w:r w:rsidR="0089705E">
              <w:rPr>
                <w:rStyle w:val="Firstpagetablebold"/>
              </w:rPr>
              <w:t>Approvals for additional c</w:t>
            </w:r>
            <w:r>
              <w:rPr>
                <w:rStyle w:val="Firstpagetablebold"/>
              </w:rPr>
              <w:t xml:space="preserve">apital </w:t>
            </w:r>
            <w:r w:rsidR="0089705E">
              <w:rPr>
                <w:rStyle w:val="Firstpagetablebold"/>
              </w:rPr>
              <w:t>funding and commissioning the delivery of the services from this new facility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CC42CC" w:rsidRDefault="00965FD0" w:rsidP="00532B18">
            <w:pPr>
              <w:rPr>
                <w:rFonts w:cs="Arial"/>
                <w:color w:val="auto"/>
              </w:rPr>
            </w:pPr>
            <w:r w:rsidRPr="00CC42CC">
              <w:rPr>
                <w:rFonts w:cs="Arial"/>
              </w:rPr>
              <w:t xml:space="preserve">To </w:t>
            </w:r>
            <w:r w:rsidR="00CC42CC" w:rsidRPr="00CC42CC">
              <w:rPr>
                <w:rFonts w:cs="Arial"/>
                <w:color w:val="auto"/>
              </w:rPr>
              <w:t>s</w:t>
            </w:r>
            <w:r w:rsidR="00CC42CC">
              <w:rPr>
                <w:rFonts w:cs="Arial"/>
                <w:color w:val="auto"/>
              </w:rPr>
              <w:t xml:space="preserve">eek approval to </w:t>
            </w:r>
            <w:r w:rsidR="0089705E">
              <w:rPr>
                <w:rFonts w:cs="Arial"/>
                <w:color w:val="auto"/>
              </w:rPr>
              <w:t>increase the capital budget envelope for the Floyds Row project; to delegate authority to commission further capital works</w:t>
            </w:r>
            <w:r w:rsidR="00865632">
              <w:rPr>
                <w:rFonts w:cs="Arial"/>
                <w:color w:val="auto"/>
              </w:rPr>
              <w:t>;</w:t>
            </w:r>
            <w:r w:rsidR="0089705E">
              <w:rPr>
                <w:rFonts w:cs="Arial"/>
                <w:color w:val="auto"/>
              </w:rPr>
              <w:t xml:space="preserve"> and to commission the service contract to operate </w:t>
            </w:r>
            <w:r w:rsidR="00865632">
              <w:rPr>
                <w:rFonts w:cs="Arial"/>
                <w:color w:val="auto"/>
              </w:rPr>
              <w:t xml:space="preserve">services from this new </w:t>
            </w:r>
            <w:r w:rsidR="0089705E">
              <w:rPr>
                <w:rFonts w:cs="Arial"/>
                <w:color w:val="auto"/>
              </w:rPr>
              <w:t>project.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14848">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89705E">
            <w:r w:rsidRPr="001356F1">
              <w:t xml:space="preserve">Councillor </w:t>
            </w:r>
            <w:r w:rsidR="0089705E">
              <w:t xml:space="preserve">Linda Smith, Deputy Leader and Cabinet </w:t>
            </w:r>
            <w:r w:rsidR="00CC42CC">
              <w:t xml:space="preserve">Member for </w:t>
            </w:r>
            <w:r w:rsidR="0089705E">
              <w:t xml:space="preserve">Leisure and </w:t>
            </w:r>
            <w:r w:rsidR="00614848">
              <w:t>Housing</w:t>
            </w:r>
            <w:r w:rsidR="00965FD0">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7066D0" w:rsidRPr="001356F1" w:rsidRDefault="00614848" w:rsidP="00CC42CC">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14848" w:rsidP="00614848">
            <w:r>
              <w:t>Housing and Homelessness Strategy 2018 to 2021</w:t>
            </w:r>
          </w:p>
        </w:tc>
      </w:tr>
      <w:tr w:rsidR="005F7F7E" w:rsidRPr="00975B07" w:rsidTr="00A46E98">
        <w:trPr>
          <w:trHeight w:val="413"/>
        </w:trPr>
        <w:tc>
          <w:tcPr>
            <w:tcW w:w="8845" w:type="dxa"/>
            <w:gridSpan w:val="3"/>
            <w:tcBorders>
              <w:bottom w:val="single" w:sz="8" w:space="0" w:color="000000"/>
            </w:tcBorders>
          </w:tcPr>
          <w:p w:rsidR="005F7F7E" w:rsidRPr="00975B07" w:rsidRDefault="005B6CAA" w:rsidP="005B6CAA">
            <w:r>
              <w:rPr>
                <w:rStyle w:val="Firstpagetablebold"/>
              </w:rPr>
              <w:t>Recommendation</w:t>
            </w:r>
            <w:r w:rsidR="005F7F7E">
              <w:rPr>
                <w:rStyle w:val="Firstpagetablebold"/>
              </w:rPr>
              <w:t>s:</w:t>
            </w:r>
            <w:r w:rsidR="00905EC2">
              <w:rPr>
                <w:rStyle w:val="Firstpagetablebold"/>
              </w:rPr>
              <w:t xml:space="preserve"> </w:t>
            </w:r>
            <w:r w:rsidR="00905EC2">
              <w:rPr>
                <w:rStyle w:val="Firstpagetablebold"/>
                <w:b w:val="0"/>
              </w:rPr>
              <w:t xml:space="preserve">That </w:t>
            </w:r>
            <w:r w:rsidR="005F7F7E" w:rsidRPr="005B6CAA">
              <w:rPr>
                <w:rStyle w:val="Firstpagetablebold"/>
                <w:b w:val="0"/>
              </w:rPr>
              <w:t xml:space="preserve"> C</w:t>
            </w:r>
            <w:r w:rsidR="00914134" w:rsidRPr="005B6CAA">
              <w:rPr>
                <w:rStyle w:val="Firstpagetablebold"/>
                <w:b w:val="0"/>
              </w:rPr>
              <w:t>abinet</w:t>
            </w:r>
            <w:r w:rsidR="005F7F7E" w:rsidRPr="005B6CAA">
              <w:rPr>
                <w:rStyle w:val="Firstpagetablebold"/>
                <w:b w:val="0"/>
              </w:rPr>
              <w:t xml:space="preserve"> resolves to:</w:t>
            </w:r>
          </w:p>
        </w:tc>
      </w:tr>
      <w:tr w:rsidR="0030208D" w:rsidRPr="00975B07" w:rsidTr="00EA6873">
        <w:trPr>
          <w:trHeight w:val="283"/>
        </w:trPr>
        <w:tc>
          <w:tcPr>
            <w:tcW w:w="426" w:type="dxa"/>
            <w:tcBorders>
              <w:top w:val="single" w:sz="8" w:space="0" w:color="000000"/>
              <w:left w:val="single" w:sz="8" w:space="0" w:color="000000"/>
              <w:bottom w:val="nil"/>
              <w:right w:val="nil"/>
            </w:tcBorders>
          </w:tcPr>
          <w:p w:rsidR="0030208D" w:rsidRDefault="00046D2B" w:rsidP="004A6D2F">
            <w:bookmarkStart w:id="0" w:name="_GoBack" w:colFirst="0" w:colLast="1"/>
            <w:r w:rsidRPr="00975B07">
              <w:t>1.</w:t>
            </w:r>
          </w:p>
          <w:p w:rsidR="007B4D46" w:rsidRPr="00AB4508" w:rsidRDefault="007B4D46" w:rsidP="004A6D2F">
            <w:pPr>
              <w:rPr>
                <w:sz w:val="16"/>
                <w:szCs w:val="16"/>
              </w:rPr>
            </w:pPr>
          </w:p>
          <w:p w:rsidR="007B4D46" w:rsidRPr="00AB4508" w:rsidRDefault="007B4D46" w:rsidP="004A6D2F">
            <w:pPr>
              <w:rPr>
                <w:sz w:val="16"/>
                <w:szCs w:val="16"/>
              </w:rPr>
            </w:pPr>
          </w:p>
          <w:p w:rsidR="007B4D46" w:rsidRPr="00AB4508" w:rsidRDefault="007B4D46" w:rsidP="004A6D2F">
            <w:pPr>
              <w:rPr>
                <w:sz w:val="16"/>
                <w:szCs w:val="16"/>
              </w:rPr>
            </w:pPr>
          </w:p>
          <w:p w:rsidR="00532B18" w:rsidRPr="00AB4508" w:rsidRDefault="00532B18" w:rsidP="004A6D2F">
            <w:pPr>
              <w:rPr>
                <w:sz w:val="16"/>
                <w:szCs w:val="16"/>
              </w:rPr>
            </w:pPr>
          </w:p>
          <w:p w:rsidR="007B4D46" w:rsidRPr="00AB4508" w:rsidRDefault="007B4D46" w:rsidP="004A6D2F">
            <w:pPr>
              <w:rPr>
                <w:sz w:val="16"/>
                <w:szCs w:val="16"/>
              </w:rPr>
            </w:pPr>
          </w:p>
          <w:p w:rsidR="004B6D55" w:rsidRPr="00AB4508" w:rsidRDefault="004B6D55" w:rsidP="004A6D2F">
            <w:pPr>
              <w:rPr>
                <w:sz w:val="16"/>
                <w:szCs w:val="16"/>
              </w:rPr>
            </w:pPr>
          </w:p>
          <w:p w:rsidR="00AB4508" w:rsidRPr="00AB4508" w:rsidRDefault="00AB4508" w:rsidP="004A6D2F">
            <w:pPr>
              <w:rPr>
                <w:sz w:val="16"/>
                <w:szCs w:val="16"/>
              </w:rPr>
            </w:pPr>
          </w:p>
          <w:p w:rsidR="00AB4508" w:rsidRDefault="00AB4508" w:rsidP="004A6D2F"/>
          <w:p w:rsidR="005C00CB" w:rsidRPr="00AB4508" w:rsidRDefault="007B4D46" w:rsidP="004A6D2F">
            <w:r>
              <w:t>2.</w:t>
            </w:r>
          </w:p>
          <w:p w:rsidR="005C00CB" w:rsidRPr="00AB4508" w:rsidRDefault="005C00CB" w:rsidP="004A6D2F"/>
          <w:p w:rsidR="005C00CB" w:rsidRPr="00975B07" w:rsidRDefault="005C00CB" w:rsidP="004A6D2F">
            <w:r>
              <w:t>3.</w:t>
            </w:r>
          </w:p>
        </w:tc>
        <w:tc>
          <w:tcPr>
            <w:tcW w:w="8419" w:type="dxa"/>
            <w:gridSpan w:val="2"/>
            <w:tcBorders>
              <w:top w:val="single" w:sz="8" w:space="0" w:color="000000"/>
              <w:left w:val="nil"/>
              <w:bottom w:val="nil"/>
              <w:right w:val="single" w:sz="8" w:space="0" w:color="000000"/>
            </w:tcBorders>
            <w:shd w:val="clear" w:color="auto" w:fill="auto"/>
          </w:tcPr>
          <w:p w:rsidR="005C3B2D" w:rsidRDefault="005C00CB" w:rsidP="00E84578">
            <w:pPr>
              <w:rPr>
                <w:rStyle w:val="Firstpagetablebold"/>
                <w:b w:val="0"/>
                <w:color w:val="auto"/>
              </w:rPr>
            </w:pPr>
            <w:r>
              <w:rPr>
                <w:rStyle w:val="Firstpagetablebold"/>
                <w:color w:val="auto"/>
              </w:rPr>
              <w:t xml:space="preserve">Recommend that </w:t>
            </w:r>
            <w:r w:rsidRPr="00E91676">
              <w:rPr>
                <w:rStyle w:val="Firstpagetablebold"/>
                <w:color w:val="auto"/>
              </w:rPr>
              <w:t xml:space="preserve">Council </w:t>
            </w:r>
            <w:r w:rsidRPr="00E91676">
              <w:rPr>
                <w:rStyle w:val="Firstpagetablebold"/>
                <w:b w:val="0"/>
                <w:color w:val="auto"/>
              </w:rPr>
              <w:t xml:space="preserve">revise the capital </w:t>
            </w:r>
            <w:r>
              <w:rPr>
                <w:rStyle w:val="Firstpagetablebold"/>
                <w:b w:val="0"/>
                <w:color w:val="auto"/>
              </w:rPr>
              <w:t>budget for this project</w:t>
            </w:r>
            <w:r w:rsidR="007B4D46" w:rsidRPr="00E91676">
              <w:rPr>
                <w:rStyle w:val="Firstpagetablebold"/>
                <w:b w:val="0"/>
                <w:color w:val="auto"/>
              </w:rPr>
              <w:t xml:space="preserve">, </w:t>
            </w:r>
            <w:r w:rsidR="00AB2EF4" w:rsidRPr="00E91676">
              <w:rPr>
                <w:rStyle w:val="Firstpagetablebold"/>
                <w:b w:val="0"/>
                <w:color w:val="auto"/>
              </w:rPr>
              <w:t>t</w:t>
            </w:r>
            <w:r w:rsidR="009E4D5F">
              <w:rPr>
                <w:rStyle w:val="Firstpagetablebold"/>
                <w:b w:val="0"/>
                <w:color w:val="auto"/>
              </w:rPr>
              <w:t>o t</w:t>
            </w:r>
            <w:r w:rsidR="00AB2EF4" w:rsidRPr="00E91676">
              <w:rPr>
                <w:rStyle w:val="Firstpagetablebold"/>
                <w:b w:val="0"/>
                <w:color w:val="auto"/>
              </w:rPr>
              <w:t xml:space="preserve">ake the capital envelope of the project to </w:t>
            </w:r>
            <w:r w:rsidR="00AB2EF4">
              <w:rPr>
                <w:rStyle w:val="Firstpagetablebold"/>
                <w:b w:val="0"/>
                <w:color w:val="auto"/>
              </w:rPr>
              <w:t>£1,892,300</w:t>
            </w:r>
            <w:r w:rsidR="00AB2EF4" w:rsidRPr="00E91676">
              <w:rPr>
                <w:rStyle w:val="Firstpagetablebold"/>
                <w:b w:val="0"/>
                <w:color w:val="auto"/>
              </w:rPr>
              <w:t>, including contingencies, as outlined in Appendix 3 Option A</w:t>
            </w:r>
            <w:r w:rsidR="009E4D5F">
              <w:rPr>
                <w:rStyle w:val="Firstpagetablebold"/>
                <w:b w:val="0"/>
                <w:color w:val="auto"/>
              </w:rPr>
              <w:t>, increasing the budget by £1,134k</w:t>
            </w:r>
            <w:r w:rsidR="00AB2EF4">
              <w:rPr>
                <w:rStyle w:val="Firstpagetablebold"/>
                <w:b w:val="0"/>
                <w:color w:val="auto"/>
              </w:rPr>
              <w:t xml:space="preserve">.  </w:t>
            </w:r>
            <w:r w:rsidR="009E4D5F">
              <w:rPr>
                <w:rStyle w:val="Firstpagetablebold"/>
                <w:b w:val="0"/>
                <w:color w:val="auto"/>
              </w:rPr>
              <w:t xml:space="preserve"> </w:t>
            </w:r>
            <w:r w:rsidR="00AB2EF4">
              <w:rPr>
                <w:rStyle w:val="Firstpagetablebold"/>
                <w:b w:val="0"/>
                <w:color w:val="auto"/>
              </w:rPr>
              <w:t xml:space="preserve">Noting grant funding </w:t>
            </w:r>
            <w:r w:rsidR="009E4D5F">
              <w:rPr>
                <w:rStyle w:val="Firstpagetablebold"/>
                <w:b w:val="0"/>
                <w:color w:val="auto"/>
              </w:rPr>
              <w:t xml:space="preserve">already secured </w:t>
            </w:r>
            <w:r w:rsidR="00AB2EF4">
              <w:rPr>
                <w:rStyle w:val="Firstpagetablebold"/>
                <w:b w:val="0"/>
                <w:color w:val="auto"/>
              </w:rPr>
              <w:t xml:space="preserve">of £275k capital funding from the </w:t>
            </w:r>
            <w:r w:rsidR="00AB4508">
              <w:rPr>
                <w:rStyle w:val="Firstpagetablebold"/>
                <w:b w:val="0"/>
                <w:color w:val="auto"/>
              </w:rPr>
              <w:t>Ministry of Housing, Communities and Local Government (</w:t>
            </w:r>
            <w:r w:rsidR="00AB2EF4">
              <w:rPr>
                <w:rStyle w:val="Firstpagetablebold"/>
                <w:b w:val="0"/>
                <w:color w:val="auto"/>
              </w:rPr>
              <w:t>MHCLG</w:t>
            </w:r>
            <w:r w:rsidR="00AB4508">
              <w:rPr>
                <w:rStyle w:val="Firstpagetablebold"/>
                <w:b w:val="0"/>
                <w:color w:val="auto"/>
              </w:rPr>
              <w:t>)</w:t>
            </w:r>
            <w:r w:rsidR="00AB2EF4">
              <w:rPr>
                <w:rStyle w:val="Firstpagetablebold"/>
                <w:b w:val="0"/>
                <w:color w:val="auto"/>
              </w:rPr>
              <w:t xml:space="preserve">, and £100k from Public Health England, </w:t>
            </w:r>
            <w:r w:rsidR="00895C35" w:rsidRPr="007A5E4E">
              <w:rPr>
                <w:rStyle w:val="Firstpagetablebold"/>
                <w:b w:val="0"/>
                <w:color w:val="auto"/>
              </w:rPr>
              <w:t xml:space="preserve">which will </w:t>
            </w:r>
            <w:r w:rsidR="007A5E4E" w:rsidRPr="007A5E4E">
              <w:rPr>
                <w:rStyle w:val="Firstpagetablebold"/>
                <w:b w:val="0"/>
                <w:color w:val="auto"/>
              </w:rPr>
              <w:t>reduce</w:t>
            </w:r>
            <w:r w:rsidR="007A5E4E">
              <w:rPr>
                <w:rStyle w:val="Firstpagetablebold"/>
                <w:b w:val="0"/>
                <w:color w:val="auto"/>
              </w:rPr>
              <w:t xml:space="preserve"> the funding requirement from </w:t>
            </w:r>
            <w:r w:rsidR="004B6D55" w:rsidRPr="00E91676">
              <w:rPr>
                <w:rStyle w:val="Firstpagetablebold"/>
                <w:b w:val="0"/>
                <w:color w:val="auto"/>
              </w:rPr>
              <w:t xml:space="preserve">the Council’s 2019/20 </w:t>
            </w:r>
            <w:r w:rsidR="007B4D46" w:rsidRPr="00E91676">
              <w:rPr>
                <w:rStyle w:val="Firstpagetablebold"/>
                <w:b w:val="0"/>
                <w:color w:val="auto"/>
              </w:rPr>
              <w:t xml:space="preserve">capital programme accordingly, and noting that </w:t>
            </w:r>
            <w:r w:rsidR="00780D48" w:rsidRPr="00E91676">
              <w:rPr>
                <w:rStyle w:val="Firstpagetablebold"/>
                <w:b w:val="0"/>
                <w:color w:val="auto"/>
              </w:rPr>
              <w:t xml:space="preserve">additional </w:t>
            </w:r>
            <w:r w:rsidR="00532B18" w:rsidRPr="00E91676">
              <w:rPr>
                <w:rStyle w:val="Firstpagetablebold"/>
                <w:b w:val="0"/>
                <w:color w:val="auto"/>
              </w:rPr>
              <w:t xml:space="preserve">external </w:t>
            </w:r>
            <w:r w:rsidR="007B4D46" w:rsidRPr="00E91676">
              <w:rPr>
                <w:rStyle w:val="Firstpagetablebold"/>
                <w:b w:val="0"/>
                <w:color w:val="auto"/>
              </w:rPr>
              <w:t xml:space="preserve">funding  </w:t>
            </w:r>
            <w:r w:rsidR="00532B18" w:rsidRPr="00E91676">
              <w:rPr>
                <w:rStyle w:val="Firstpagetablebold"/>
                <w:b w:val="0"/>
                <w:color w:val="auto"/>
              </w:rPr>
              <w:t xml:space="preserve">contributions are being progressed </w:t>
            </w:r>
            <w:r w:rsidR="007B4D46" w:rsidRPr="00E91676">
              <w:rPr>
                <w:rStyle w:val="Firstpagetablebold"/>
                <w:b w:val="0"/>
                <w:color w:val="auto"/>
              </w:rPr>
              <w:t xml:space="preserve">from a variety of sources, including the MHCLG; </w:t>
            </w:r>
            <w:r w:rsidR="00780D48" w:rsidRPr="00E91676">
              <w:rPr>
                <w:rStyle w:val="Firstpagetablebold"/>
                <w:b w:val="0"/>
                <w:color w:val="auto"/>
              </w:rPr>
              <w:t xml:space="preserve">Oxfordshire District and County </w:t>
            </w:r>
            <w:r w:rsidR="007B4D46" w:rsidRPr="00E91676">
              <w:rPr>
                <w:rStyle w:val="Firstpagetablebold"/>
                <w:b w:val="0"/>
                <w:color w:val="auto"/>
              </w:rPr>
              <w:t xml:space="preserve">Councils; </w:t>
            </w:r>
            <w:r w:rsidR="00780D48" w:rsidRPr="00E91676">
              <w:rPr>
                <w:rStyle w:val="Firstpagetablebold"/>
                <w:b w:val="0"/>
                <w:color w:val="auto"/>
              </w:rPr>
              <w:t xml:space="preserve">the </w:t>
            </w:r>
            <w:r w:rsidR="007B4D46" w:rsidRPr="00E91676">
              <w:rPr>
                <w:rStyle w:val="Firstpagetablebold"/>
                <w:b w:val="0"/>
                <w:color w:val="auto"/>
              </w:rPr>
              <w:t>O</w:t>
            </w:r>
            <w:r w:rsidR="00AB4508">
              <w:rPr>
                <w:rStyle w:val="Firstpagetablebold"/>
                <w:b w:val="0"/>
                <w:color w:val="auto"/>
              </w:rPr>
              <w:t>xfordshire Clinical Commissioning Group</w:t>
            </w:r>
            <w:r w:rsidR="007B4D46" w:rsidRPr="00E91676">
              <w:rPr>
                <w:rStyle w:val="Firstpagetablebold"/>
                <w:b w:val="0"/>
                <w:color w:val="auto"/>
              </w:rPr>
              <w:t xml:space="preserve"> and other </w:t>
            </w:r>
            <w:r w:rsidR="00780D48" w:rsidRPr="00E91676">
              <w:rPr>
                <w:rStyle w:val="Firstpagetablebold"/>
                <w:b w:val="0"/>
                <w:color w:val="auto"/>
              </w:rPr>
              <w:t xml:space="preserve">charitable </w:t>
            </w:r>
            <w:r w:rsidR="007B4D46" w:rsidRPr="00E91676">
              <w:rPr>
                <w:rStyle w:val="Firstpagetablebold"/>
                <w:b w:val="0"/>
                <w:color w:val="auto"/>
              </w:rPr>
              <w:t xml:space="preserve">sources; </w:t>
            </w:r>
          </w:p>
          <w:p w:rsidR="00905EC2" w:rsidRDefault="005C00CB" w:rsidP="00905EC2">
            <w:pPr>
              <w:rPr>
                <w:rStyle w:val="Firstpagetablebold"/>
                <w:b w:val="0"/>
                <w:color w:val="auto"/>
              </w:rPr>
            </w:pPr>
            <w:r w:rsidRPr="005C00CB">
              <w:rPr>
                <w:rStyle w:val="Firstpagetablebold"/>
                <w:color w:val="auto"/>
              </w:rPr>
              <w:t xml:space="preserve">Recommend </w:t>
            </w:r>
            <w:r>
              <w:rPr>
                <w:rStyle w:val="Firstpagetablebold"/>
                <w:b w:val="0"/>
                <w:color w:val="auto"/>
              </w:rPr>
              <w:t xml:space="preserve">that Council make budget provision for the gross revenue costs of providing Floyds Row in the sum of £1.069 million in 2019-20 funded by grants and contributions; </w:t>
            </w:r>
          </w:p>
          <w:p w:rsidR="0030208D" w:rsidRPr="001356F1" w:rsidRDefault="00CC42CC" w:rsidP="00905EC2">
            <w:r>
              <w:rPr>
                <w:rStyle w:val="Firstpagetablebold"/>
              </w:rPr>
              <w:t xml:space="preserve">Delegate authority </w:t>
            </w:r>
            <w:r w:rsidRPr="0070493D">
              <w:rPr>
                <w:rStyle w:val="Firstpagetablebold"/>
                <w:b w:val="0"/>
              </w:rPr>
              <w:t xml:space="preserve">to the </w:t>
            </w:r>
            <w:r w:rsidR="007B4D46">
              <w:rPr>
                <w:rStyle w:val="Firstpagetablebold"/>
                <w:b w:val="0"/>
              </w:rPr>
              <w:t>Assistant Chief Executive, in consultation with the Head of Finance</w:t>
            </w:r>
            <w:r w:rsidR="00AB4508">
              <w:rPr>
                <w:rStyle w:val="Firstpagetablebold"/>
                <w:b w:val="0"/>
              </w:rPr>
              <w:t xml:space="preserve"> and Head of Law and Governance</w:t>
            </w:r>
            <w:r w:rsidR="007B4D46">
              <w:rPr>
                <w:rStyle w:val="Firstpagetablebold"/>
                <w:b w:val="0"/>
              </w:rPr>
              <w:t>, to enter into contracts to complete the full capital works to convert the building</w:t>
            </w:r>
            <w:r w:rsidR="004E2FB5">
              <w:rPr>
                <w:rStyle w:val="Firstpagetablebold"/>
                <w:b w:val="0"/>
              </w:rPr>
              <w:t xml:space="preserve"> (phases 1 and 2)</w:t>
            </w:r>
            <w:r w:rsidR="007B4D46">
              <w:rPr>
                <w:rStyle w:val="Firstpagetablebold"/>
                <w:b w:val="0"/>
              </w:rPr>
              <w:t xml:space="preserve">, on the basis that in the opinion of the Head of Finance, that this continues to represent best value; </w:t>
            </w:r>
          </w:p>
        </w:tc>
      </w:tr>
      <w:tr w:rsidR="0030208D" w:rsidRPr="00F80467" w:rsidTr="00EA6873">
        <w:trPr>
          <w:trHeight w:val="283"/>
        </w:trPr>
        <w:tc>
          <w:tcPr>
            <w:tcW w:w="426" w:type="dxa"/>
            <w:tcBorders>
              <w:top w:val="nil"/>
              <w:left w:val="single" w:sz="8" w:space="0" w:color="000000"/>
              <w:bottom w:val="single" w:sz="8" w:space="0" w:color="000000"/>
              <w:right w:val="nil"/>
            </w:tcBorders>
          </w:tcPr>
          <w:p w:rsidR="0030208D" w:rsidRPr="004149D1" w:rsidRDefault="005C00CB" w:rsidP="004A6D2F">
            <w:r>
              <w:lastRenderedPageBreak/>
              <w:t>4</w:t>
            </w:r>
            <w:r w:rsidR="00046D2B" w:rsidRPr="00F80467">
              <w:t>.</w:t>
            </w:r>
          </w:p>
          <w:p w:rsidR="00780D48" w:rsidRPr="001C3A6C" w:rsidRDefault="00780D48" w:rsidP="004A6D2F"/>
          <w:p w:rsidR="00532B18" w:rsidRPr="001C3A6C" w:rsidRDefault="00532B18" w:rsidP="004A6D2F"/>
          <w:p w:rsidR="007B4D46" w:rsidRPr="00F80467" w:rsidRDefault="005C00CB" w:rsidP="004A6D2F">
            <w:r>
              <w:t>5</w:t>
            </w:r>
            <w:r w:rsidR="007B4D46" w:rsidRPr="00F80467">
              <w:t>.</w:t>
            </w:r>
          </w:p>
          <w:p w:rsidR="00602A98" w:rsidRPr="005C00CB" w:rsidRDefault="00602A98" w:rsidP="004A6D2F">
            <w:pPr>
              <w:rPr>
                <w:sz w:val="16"/>
                <w:szCs w:val="16"/>
              </w:rPr>
            </w:pPr>
          </w:p>
          <w:p w:rsidR="005C00CB" w:rsidRPr="001C3A6C" w:rsidRDefault="005C00CB" w:rsidP="004A6D2F"/>
          <w:p w:rsidR="00602A98" w:rsidRPr="00F80467" w:rsidRDefault="005C00CB" w:rsidP="004A6D2F">
            <w:r>
              <w:t>6</w:t>
            </w:r>
            <w:r w:rsidR="00602A98" w:rsidRPr="00F80467">
              <w:t xml:space="preserve">. </w:t>
            </w:r>
          </w:p>
          <w:p w:rsidR="00602A98" w:rsidRPr="007A5E4E" w:rsidRDefault="00602A98" w:rsidP="004A6D2F"/>
          <w:p w:rsidR="00602A98" w:rsidRPr="00F80467" w:rsidRDefault="005C00CB" w:rsidP="004A6D2F">
            <w:r>
              <w:t>7</w:t>
            </w:r>
            <w:r w:rsidR="00602A98" w:rsidRPr="00F80467">
              <w:t>.</w:t>
            </w:r>
          </w:p>
          <w:p w:rsidR="00602A98" w:rsidRPr="001C3A6C" w:rsidRDefault="00602A98" w:rsidP="004A6D2F">
            <w:pPr>
              <w:rPr>
                <w:sz w:val="20"/>
                <w:szCs w:val="20"/>
              </w:rPr>
            </w:pPr>
          </w:p>
          <w:p w:rsidR="00602A98" w:rsidRPr="001C3A6C" w:rsidRDefault="00602A98" w:rsidP="004A6D2F">
            <w:pPr>
              <w:rPr>
                <w:sz w:val="20"/>
                <w:szCs w:val="20"/>
              </w:rPr>
            </w:pPr>
          </w:p>
          <w:p w:rsidR="00532B18" w:rsidRPr="001C3A6C" w:rsidRDefault="00532B18" w:rsidP="004A6D2F">
            <w:pPr>
              <w:rPr>
                <w:sz w:val="16"/>
                <w:szCs w:val="16"/>
              </w:rPr>
            </w:pPr>
          </w:p>
          <w:p w:rsidR="007A5E4E" w:rsidRDefault="007A5E4E" w:rsidP="004A6D2F"/>
          <w:p w:rsidR="004E2FB5" w:rsidRDefault="005C00CB" w:rsidP="004A6D2F">
            <w:r>
              <w:t>8</w:t>
            </w:r>
            <w:r w:rsidR="00602A98" w:rsidRPr="00F80467">
              <w:t>.</w:t>
            </w:r>
          </w:p>
          <w:p w:rsidR="005967BF" w:rsidRPr="005967BF" w:rsidRDefault="005967BF" w:rsidP="004A6D2F">
            <w:pPr>
              <w:rPr>
                <w:sz w:val="16"/>
                <w:szCs w:val="16"/>
              </w:rPr>
            </w:pPr>
          </w:p>
          <w:p w:rsidR="005967BF" w:rsidRPr="005967BF" w:rsidRDefault="005967BF" w:rsidP="004A6D2F">
            <w:pPr>
              <w:rPr>
                <w:sz w:val="16"/>
                <w:szCs w:val="16"/>
              </w:rPr>
            </w:pPr>
          </w:p>
          <w:p w:rsidR="005967BF" w:rsidRPr="00F80467" w:rsidRDefault="005967BF" w:rsidP="004A6D2F">
            <w:r>
              <w:t>9.</w:t>
            </w:r>
          </w:p>
        </w:tc>
        <w:tc>
          <w:tcPr>
            <w:tcW w:w="8419" w:type="dxa"/>
            <w:gridSpan w:val="2"/>
            <w:tcBorders>
              <w:top w:val="nil"/>
              <w:left w:val="nil"/>
              <w:bottom w:val="single" w:sz="8" w:space="0" w:color="000000"/>
              <w:right w:val="single" w:sz="8" w:space="0" w:color="000000"/>
            </w:tcBorders>
            <w:shd w:val="clear" w:color="auto" w:fill="auto"/>
          </w:tcPr>
          <w:p w:rsidR="005C3B2D" w:rsidRPr="00F80467" w:rsidRDefault="00780D48" w:rsidP="00965FD0">
            <w:r w:rsidRPr="00F80467">
              <w:rPr>
                <w:b/>
              </w:rPr>
              <w:t>Delegate authority</w:t>
            </w:r>
            <w:r w:rsidRPr="00F80467">
              <w:t xml:space="preserve"> to the Regeneration and Major Projects Service Manager, </w:t>
            </w:r>
            <w:r w:rsidRPr="00F80467">
              <w:rPr>
                <w:rStyle w:val="Firstpagetablebold"/>
                <w:b w:val="0"/>
              </w:rPr>
              <w:t xml:space="preserve">in consultation with the </w:t>
            </w:r>
            <w:r w:rsidR="00910E76" w:rsidRPr="00F80467">
              <w:rPr>
                <w:rStyle w:val="Firstpagetablebold"/>
                <w:b w:val="0"/>
              </w:rPr>
              <w:t xml:space="preserve">Heads of </w:t>
            </w:r>
            <w:r w:rsidRPr="00F80467">
              <w:rPr>
                <w:rStyle w:val="Firstpagetablebold"/>
                <w:b w:val="0"/>
              </w:rPr>
              <w:t xml:space="preserve">Housing and Finance, to enter into a lease of Floyds Row for </w:t>
            </w:r>
            <w:r w:rsidR="00AB4508">
              <w:rPr>
                <w:rStyle w:val="Firstpagetablebold"/>
                <w:b w:val="0"/>
              </w:rPr>
              <w:t>a peppercorn rent</w:t>
            </w:r>
            <w:r w:rsidRPr="00F80467">
              <w:rPr>
                <w:rStyle w:val="Firstpagetablebold"/>
                <w:b w:val="0"/>
              </w:rPr>
              <w:t>, on the basis as summarised in this report</w:t>
            </w:r>
            <w:r w:rsidR="00E91676">
              <w:rPr>
                <w:rStyle w:val="Firstpagetablebold"/>
                <w:b w:val="0"/>
              </w:rPr>
              <w:t>;</w:t>
            </w:r>
            <w:r w:rsidRPr="00F80467">
              <w:rPr>
                <w:rStyle w:val="Firstpagetablebold"/>
                <w:b w:val="0"/>
              </w:rPr>
              <w:t xml:space="preserve"> </w:t>
            </w:r>
          </w:p>
          <w:p w:rsidR="00602A98" w:rsidRPr="00F80467" w:rsidRDefault="00780D48" w:rsidP="00965FD0">
            <w:r w:rsidRPr="00F80467">
              <w:rPr>
                <w:b/>
              </w:rPr>
              <w:t>Delegate authority</w:t>
            </w:r>
            <w:r w:rsidRPr="00F80467">
              <w:t xml:space="preserve"> to the Head of Housing, to enter into </w:t>
            </w:r>
            <w:r w:rsidR="00910E76" w:rsidRPr="00F80467">
              <w:t>a S</w:t>
            </w:r>
            <w:r w:rsidRPr="004149D1">
              <w:t>ervice Contract as set out in this report, for the delivery of services at Floyds Row</w:t>
            </w:r>
            <w:r w:rsidR="00910E76" w:rsidRPr="00F80467">
              <w:t xml:space="preserve"> </w:t>
            </w:r>
            <w:r w:rsidR="00F92F56" w:rsidRPr="00F80467">
              <w:t>from 1</w:t>
            </w:r>
            <w:r w:rsidR="00F92F56" w:rsidRPr="00F80467">
              <w:rPr>
                <w:vertAlign w:val="superscript"/>
              </w:rPr>
              <w:t>st</w:t>
            </w:r>
            <w:r w:rsidR="00F92F56" w:rsidRPr="00F80467">
              <w:t xml:space="preserve"> April 2020 </w:t>
            </w:r>
            <w:r w:rsidR="00910E76" w:rsidRPr="00F80467">
              <w:t xml:space="preserve">to </w:t>
            </w:r>
            <w:r w:rsidR="00F92F56" w:rsidRPr="00F80467">
              <w:t>31</w:t>
            </w:r>
            <w:r w:rsidR="00F92F56" w:rsidRPr="00F80467">
              <w:rPr>
                <w:vertAlign w:val="superscript"/>
              </w:rPr>
              <w:t>st</w:t>
            </w:r>
            <w:r w:rsidR="00F92F56" w:rsidRPr="00F80467">
              <w:t xml:space="preserve"> </w:t>
            </w:r>
            <w:r w:rsidR="00910E76" w:rsidRPr="00F80467">
              <w:t xml:space="preserve">March </w:t>
            </w:r>
            <w:r w:rsidR="00F92F56" w:rsidRPr="00F80467">
              <w:t xml:space="preserve">2021, </w:t>
            </w:r>
          </w:p>
          <w:p w:rsidR="005C3B2D" w:rsidRPr="005C00CB" w:rsidRDefault="00602A98" w:rsidP="00910E76">
            <w:r w:rsidRPr="001C6C56">
              <w:rPr>
                <w:b/>
              </w:rPr>
              <w:t>Note</w:t>
            </w:r>
            <w:r w:rsidRPr="001C6C56">
              <w:t xml:space="preserve"> that the </w:t>
            </w:r>
            <w:r w:rsidR="00F92F56" w:rsidRPr="001C6C56">
              <w:t xml:space="preserve">current Street Outreach Team contract </w:t>
            </w:r>
            <w:r w:rsidR="00AB4508">
              <w:t xml:space="preserve">with the Council </w:t>
            </w:r>
            <w:r w:rsidRPr="001C6C56">
              <w:t xml:space="preserve">will be varied </w:t>
            </w:r>
            <w:r w:rsidR="00F92F56" w:rsidRPr="001C6C56">
              <w:t>to include the interim service arrangements</w:t>
            </w:r>
            <w:r w:rsidRPr="001C6C56">
              <w:t xml:space="preserve"> (worth c.</w:t>
            </w:r>
            <w:r w:rsidR="00E91676" w:rsidRPr="001C6C56">
              <w:t>£</w:t>
            </w:r>
            <w:r w:rsidRPr="001C6C56">
              <w:t>400k)</w:t>
            </w:r>
            <w:r w:rsidR="00F92F56" w:rsidRPr="001C6C56">
              <w:t xml:space="preserve"> up to end March 2020</w:t>
            </w:r>
            <w:r w:rsidR="001C6C56">
              <w:t xml:space="preserve"> within existing </w:t>
            </w:r>
            <w:r w:rsidR="00AB4508">
              <w:t xml:space="preserve">budget and </w:t>
            </w:r>
            <w:r w:rsidR="001C6C56">
              <w:t>funding envelopes</w:t>
            </w:r>
            <w:r w:rsidR="00D62F60" w:rsidRPr="001C6C56">
              <w:t xml:space="preserve">; </w:t>
            </w:r>
          </w:p>
          <w:p w:rsidR="00780D48" w:rsidRPr="008357B2" w:rsidRDefault="00780D48" w:rsidP="00910E76">
            <w:r w:rsidRPr="00F80467">
              <w:rPr>
                <w:b/>
              </w:rPr>
              <w:t>Delegate authority</w:t>
            </w:r>
            <w:r w:rsidRPr="00F80467">
              <w:t xml:space="preserve"> to </w:t>
            </w:r>
            <w:r w:rsidR="00910E76" w:rsidRPr="00F80467">
              <w:t>the Head of Housing to undertake the re-procurement of the</w:t>
            </w:r>
            <w:r w:rsidR="00AB4508">
              <w:t xml:space="preserve"> Street Outreach and Floyds Row</w:t>
            </w:r>
            <w:r w:rsidR="00910E76" w:rsidRPr="00F80467">
              <w:t xml:space="preserve"> commissioned services during 2</w:t>
            </w:r>
            <w:r w:rsidRPr="00F80467">
              <w:t>020</w:t>
            </w:r>
            <w:r w:rsidR="005C3B2D" w:rsidRPr="00F80467">
              <w:t>/21, noting</w:t>
            </w:r>
            <w:r w:rsidR="00910E76" w:rsidRPr="00F80467">
              <w:t xml:space="preserve"> a further report will be brought to Cabinet in late 2020, to recommend the award of </w:t>
            </w:r>
            <w:r w:rsidR="004E2FB5" w:rsidRPr="00F80467">
              <w:t>contract</w:t>
            </w:r>
            <w:r w:rsidR="00D62F60" w:rsidRPr="00F80467">
              <w:t xml:space="preserve">; </w:t>
            </w:r>
            <w:r w:rsidR="001C6C56">
              <w:t xml:space="preserve">and the annual report on rough sleeping </w:t>
            </w:r>
            <w:r w:rsidR="001C6C56" w:rsidRPr="008357B2">
              <w:t xml:space="preserve">and single homelessness commissioning spend, will be brought to Cabinet in March 2020; </w:t>
            </w:r>
          </w:p>
          <w:p w:rsidR="005967BF" w:rsidRPr="00F80467" w:rsidRDefault="005967BF" w:rsidP="005967BF">
            <w:r w:rsidRPr="008357B2">
              <w:rPr>
                <w:b/>
              </w:rPr>
              <w:t>Agree</w:t>
            </w:r>
            <w:r w:rsidRPr="008357B2">
              <w:t xml:space="preserve"> to provide the grant funding proposed in this report in order to facilitate the initial trial period of operation of the Floyds Row assessment centre; </w:t>
            </w:r>
            <w:r w:rsidR="00905EC2">
              <w:t>and</w:t>
            </w:r>
          </w:p>
          <w:p w:rsidR="004E2FB5" w:rsidRPr="00F80467" w:rsidRDefault="004E2FB5" w:rsidP="00910E76">
            <w:r w:rsidRPr="00F80467">
              <w:rPr>
                <w:b/>
              </w:rPr>
              <w:t>Note</w:t>
            </w:r>
            <w:r w:rsidRPr="00F80467">
              <w:t xml:space="preserve"> the progress with the development of this venue and new services, as part of a wider transformation programme.  Noting that interim Somewhere Safe to Stay and Winter Shelter services will commence from Simon House from late October 2019, with some services moving to Floyds Row in January 2020, with the current programme expecting the completion of Floyds Row by end March 2020.</w:t>
            </w:r>
          </w:p>
        </w:tc>
      </w:tr>
      <w:bookmarkEnd w:id="0"/>
    </w:tbl>
    <w:p w:rsidR="00965FD0" w:rsidRPr="00F80467" w:rsidRDefault="00965FD0"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F8046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F80467" w:rsidRDefault="00966D42" w:rsidP="00263EA3">
            <w:pPr>
              <w:jc w:val="center"/>
            </w:pPr>
            <w:r w:rsidRPr="00F80467">
              <w:rPr>
                <w:rStyle w:val="Firstpagetablebold"/>
              </w:rPr>
              <w:t>Appendices</w:t>
            </w:r>
          </w:p>
        </w:tc>
      </w:tr>
      <w:tr w:rsidR="00ED5860" w:rsidRPr="00F80467" w:rsidTr="0070493D">
        <w:tc>
          <w:tcPr>
            <w:tcW w:w="2438" w:type="dxa"/>
            <w:tcBorders>
              <w:top w:val="nil"/>
              <w:left w:val="single" w:sz="8" w:space="0" w:color="000000"/>
              <w:bottom w:val="single" w:sz="8" w:space="0" w:color="000000"/>
              <w:right w:val="nil"/>
            </w:tcBorders>
            <w:shd w:val="clear" w:color="auto" w:fill="auto"/>
          </w:tcPr>
          <w:p w:rsidR="00ED5860" w:rsidRPr="00F80467" w:rsidRDefault="0030208D" w:rsidP="004A6D2F">
            <w:r w:rsidRPr="00F80467">
              <w:t xml:space="preserve">Appendix </w:t>
            </w:r>
            <w:r w:rsidR="008B74E8" w:rsidRPr="00F80467">
              <w:t>1</w:t>
            </w:r>
          </w:p>
          <w:p w:rsidR="00FC6127" w:rsidRPr="00F80467" w:rsidRDefault="00FC6127" w:rsidP="008B74E8">
            <w:r w:rsidRPr="00F80467">
              <w:t xml:space="preserve">Appendix </w:t>
            </w:r>
            <w:r w:rsidR="008B74E8" w:rsidRPr="00F80467">
              <w:t>2</w:t>
            </w:r>
          </w:p>
          <w:p w:rsidR="007B70DE" w:rsidRPr="00F80467" w:rsidRDefault="007B70DE" w:rsidP="008B74E8">
            <w:r w:rsidRPr="00F80467">
              <w:t>Appendix 3</w:t>
            </w:r>
          </w:p>
        </w:tc>
        <w:tc>
          <w:tcPr>
            <w:tcW w:w="6406" w:type="dxa"/>
            <w:tcBorders>
              <w:top w:val="nil"/>
              <w:left w:val="nil"/>
              <w:bottom w:val="single" w:sz="8" w:space="0" w:color="000000"/>
              <w:right w:val="single" w:sz="8" w:space="0" w:color="000000"/>
            </w:tcBorders>
          </w:tcPr>
          <w:p w:rsidR="00965FD0" w:rsidRPr="00F80467" w:rsidRDefault="00965FD0" w:rsidP="007E18D7">
            <w:r w:rsidRPr="00F80467">
              <w:t xml:space="preserve">Risk Register </w:t>
            </w:r>
          </w:p>
          <w:p w:rsidR="00FC6127" w:rsidRPr="00F80467" w:rsidRDefault="00965FD0" w:rsidP="007E18D7">
            <w:r w:rsidRPr="00F80467">
              <w:t>Equality Impact Assessment</w:t>
            </w:r>
          </w:p>
          <w:p w:rsidR="007D5A71" w:rsidRPr="00F80467" w:rsidRDefault="007B70DE" w:rsidP="001C6C56">
            <w:r w:rsidRPr="00F80467">
              <w:t xml:space="preserve">Financial </w:t>
            </w:r>
            <w:r w:rsidR="00BA0F96" w:rsidRPr="00F80467">
              <w:t>Analysis and Comparability Statement of Proposed Options</w:t>
            </w:r>
          </w:p>
        </w:tc>
      </w:tr>
    </w:tbl>
    <w:p w:rsidR="007D5A71" w:rsidRPr="001C3A6C" w:rsidRDefault="00310EF7" w:rsidP="00244E87">
      <w:pPr>
        <w:pStyle w:val="Heading1"/>
      </w:pPr>
      <w:r w:rsidRPr="001C3A6C">
        <w:t>Introduction and B</w:t>
      </w:r>
      <w:r w:rsidR="00151888" w:rsidRPr="001C3A6C">
        <w:t>ackground</w:t>
      </w:r>
      <w:r w:rsidR="00404032" w:rsidRPr="001C3A6C">
        <w:t xml:space="preserve"> </w:t>
      </w:r>
    </w:p>
    <w:p w:rsidR="007D5A71" w:rsidRPr="00F80467" w:rsidRDefault="00865632" w:rsidP="007D5A71">
      <w:pPr>
        <w:pStyle w:val="ListParagraph"/>
        <w:numPr>
          <w:ilvl w:val="0"/>
          <w:numId w:val="11"/>
        </w:numPr>
        <w:spacing w:after="0"/>
        <w:rPr>
          <w:rFonts w:cs="Arial"/>
          <w:color w:val="auto"/>
        </w:rPr>
      </w:pPr>
      <w:r w:rsidRPr="00F80467">
        <w:rPr>
          <w:rFonts w:cs="Arial"/>
          <w:color w:val="auto"/>
        </w:rPr>
        <w:t xml:space="preserve">This report provides an update to Cabinet on the </w:t>
      </w:r>
      <w:r w:rsidR="00A474C0" w:rsidRPr="00F80467">
        <w:rPr>
          <w:rFonts w:cs="Arial"/>
          <w:color w:val="auto"/>
        </w:rPr>
        <w:t>continued progress of the</w:t>
      </w:r>
      <w:r w:rsidRPr="00F80467">
        <w:rPr>
          <w:rFonts w:cs="Arial"/>
          <w:color w:val="auto"/>
        </w:rPr>
        <w:t xml:space="preserve"> development of Floyds Row</w:t>
      </w:r>
      <w:r w:rsidR="00A474C0" w:rsidRPr="00F80467">
        <w:rPr>
          <w:rFonts w:cs="Arial"/>
          <w:color w:val="auto"/>
        </w:rPr>
        <w:t xml:space="preserve">, as the venue for the delivery of </w:t>
      </w:r>
      <w:r w:rsidRPr="00F80467">
        <w:rPr>
          <w:rFonts w:cs="Arial"/>
          <w:color w:val="auto"/>
        </w:rPr>
        <w:t>a new engagement and assessment centre for rough sleepers and single homeless people.</w:t>
      </w:r>
      <w:r w:rsidR="00310EF7" w:rsidRPr="00F80467">
        <w:rPr>
          <w:rFonts w:cs="Arial"/>
          <w:color w:val="auto"/>
        </w:rPr>
        <w:t xml:space="preserve">  Project Approval </w:t>
      </w:r>
      <w:r w:rsidR="00AB4508">
        <w:rPr>
          <w:rFonts w:cs="Arial"/>
          <w:color w:val="auto"/>
        </w:rPr>
        <w:t xml:space="preserve">was given </w:t>
      </w:r>
      <w:r w:rsidR="00AB4508" w:rsidRPr="00F80467">
        <w:rPr>
          <w:rFonts w:cs="Arial"/>
          <w:color w:val="auto"/>
        </w:rPr>
        <w:t>at City Executive Board on 10</w:t>
      </w:r>
      <w:r w:rsidR="00AB4508" w:rsidRPr="00F80467">
        <w:rPr>
          <w:rFonts w:cs="Arial"/>
          <w:color w:val="auto"/>
          <w:vertAlign w:val="superscript"/>
        </w:rPr>
        <w:t>th</w:t>
      </w:r>
      <w:r w:rsidR="00AB4508" w:rsidRPr="00F80467">
        <w:rPr>
          <w:rFonts w:cs="Arial"/>
          <w:color w:val="auto"/>
        </w:rPr>
        <w:t xml:space="preserve"> April 2019</w:t>
      </w:r>
      <w:r w:rsidR="00AB4508">
        <w:rPr>
          <w:rFonts w:cs="Arial"/>
          <w:color w:val="auto"/>
        </w:rPr>
        <w:t xml:space="preserve">, and the CEB recommendation to amend the initial capital budget for the project was agreed at Council. </w:t>
      </w:r>
    </w:p>
    <w:p w:rsidR="007D5A71" w:rsidRPr="00F80467" w:rsidRDefault="00310EF7" w:rsidP="007D5A71">
      <w:pPr>
        <w:pStyle w:val="ListParagraph"/>
        <w:numPr>
          <w:ilvl w:val="0"/>
          <w:numId w:val="0"/>
        </w:numPr>
        <w:spacing w:after="0"/>
        <w:ind w:left="360"/>
        <w:rPr>
          <w:rFonts w:cs="Arial"/>
          <w:color w:val="auto"/>
        </w:rPr>
      </w:pPr>
      <w:r w:rsidRPr="00F80467">
        <w:rPr>
          <w:rFonts w:cs="Arial"/>
          <w:color w:val="1F497D" w:themeColor="text2"/>
          <w:sz w:val="22"/>
          <w:szCs w:val="22"/>
        </w:rPr>
        <w:t xml:space="preserve"> </w:t>
      </w:r>
    </w:p>
    <w:p w:rsidR="007D5A71" w:rsidRPr="00F80467" w:rsidRDefault="004605C7" w:rsidP="007D5A71">
      <w:pPr>
        <w:pStyle w:val="ListParagraph"/>
        <w:numPr>
          <w:ilvl w:val="0"/>
          <w:numId w:val="11"/>
        </w:numPr>
        <w:spacing w:after="0"/>
        <w:rPr>
          <w:rFonts w:cs="Arial"/>
          <w:color w:val="auto"/>
        </w:rPr>
      </w:pPr>
      <w:r w:rsidRPr="00F80467">
        <w:t xml:space="preserve">As with other areas of the country, Oxfordshire has seen a dramatic increase in the numbers of rough sleepers on </w:t>
      </w:r>
      <w:r w:rsidR="007A5E4E">
        <w:t>it</w:t>
      </w:r>
      <w:r w:rsidR="00C5528C">
        <w:t>s</w:t>
      </w:r>
      <w:r w:rsidRPr="00F80467">
        <w:t xml:space="preserve"> streets. Whilst rough sleeping is most visible in Oxford where the majority of services are provided, single homelessness is experienced – and its’ impacts felt - across the county.  Quarterly street counts carried out by Oxford City Council continue to show that whilst the number of people </w:t>
      </w:r>
      <w:r w:rsidRPr="00F80467">
        <w:lastRenderedPageBreak/>
        <w:t xml:space="preserve">sleeping rough fluctuates, the general trend remains high and most people sleeping rough in the city do not have a connection to Oxford.  </w:t>
      </w:r>
    </w:p>
    <w:p w:rsidR="007D5A71" w:rsidRPr="00F80467" w:rsidRDefault="007D5A71" w:rsidP="007D5A71">
      <w:pPr>
        <w:pStyle w:val="ListParagraph"/>
        <w:numPr>
          <w:ilvl w:val="0"/>
          <w:numId w:val="0"/>
        </w:numPr>
        <w:ind w:left="426"/>
      </w:pPr>
    </w:p>
    <w:p w:rsidR="007D5A71" w:rsidRPr="00F80467" w:rsidRDefault="004605C7" w:rsidP="007D5A71">
      <w:pPr>
        <w:pStyle w:val="ListParagraph"/>
        <w:numPr>
          <w:ilvl w:val="0"/>
          <w:numId w:val="11"/>
        </w:numPr>
        <w:spacing w:after="0"/>
        <w:rPr>
          <w:rFonts w:cs="Arial"/>
          <w:color w:val="auto"/>
        </w:rPr>
      </w:pPr>
      <w:r w:rsidRPr="00F80467">
        <w:t>The high number of rough sleepers and people at risk of rough sleeping calls for a rapid and effective response. On average, over the past year, the City’s outreach team have identified 20 individuals each month who were brand new to rough sleeping in Oxford, with this sometimes being much higher – 42 in May 2019.  The human cost of rough sleeping is severe; the average age of death for a person who dies whilst living on the streets or in homeless accommodation is 47 years old compared to 77 for the general population.  A</w:t>
      </w:r>
      <w:r w:rsidR="00F92F56" w:rsidRPr="00F80467">
        <w:t xml:space="preserve"> high and </w:t>
      </w:r>
      <w:r w:rsidRPr="00F80467">
        <w:t>increasing</w:t>
      </w:r>
      <w:r w:rsidR="00F92F56" w:rsidRPr="00F80467">
        <w:t xml:space="preserve"> p</w:t>
      </w:r>
      <w:r w:rsidRPr="00F80467">
        <w:t>roportion of people sleeping rough and accommod</w:t>
      </w:r>
      <w:r w:rsidR="00F92F56" w:rsidRPr="00F80467">
        <w:t>ated in</w:t>
      </w:r>
      <w:r w:rsidRPr="00F80467">
        <w:t xml:space="preserve"> the Adult Homeless Pathway are experiencing multiple disadvantage, including drug and alcohol dependency and mental health issues. </w:t>
      </w:r>
    </w:p>
    <w:p w:rsidR="007D5A71" w:rsidRPr="00F80467" w:rsidRDefault="007D5A71" w:rsidP="007D5A71">
      <w:pPr>
        <w:pStyle w:val="ListParagraph"/>
        <w:numPr>
          <w:ilvl w:val="0"/>
          <w:numId w:val="0"/>
        </w:numPr>
        <w:ind w:left="426"/>
      </w:pPr>
    </w:p>
    <w:p w:rsidR="007D5A71" w:rsidRPr="00F80467" w:rsidRDefault="004605C7" w:rsidP="007D5A71">
      <w:pPr>
        <w:pStyle w:val="ListParagraph"/>
        <w:numPr>
          <w:ilvl w:val="0"/>
          <w:numId w:val="11"/>
        </w:numPr>
        <w:spacing w:after="0"/>
        <w:rPr>
          <w:rFonts w:cs="Arial"/>
          <w:color w:val="auto"/>
        </w:rPr>
      </w:pPr>
      <w:r w:rsidRPr="00F80467">
        <w:t>The Oxfordshire councils and the Oxfordshire Clinical Commissioning Group have already recognised that there is a need to work together to tackle this issue, and build on the current joint commissioning arrangements to review needs and services across the county and develop a strategy for rough sleeping and single homelessness in Oxfordshire.  The City Council and District Council partners have committed through successive funding bids to delivering the government’s ambition to halve rough sleeping by 2022 and end it by 2027.  The</w:t>
      </w:r>
      <w:r w:rsidR="005C3B2D" w:rsidRPr="00F80467">
        <w:t xml:space="preserve"> successful</w:t>
      </w:r>
      <w:r w:rsidRPr="00F80467">
        <w:t xml:space="preserve"> bids </w:t>
      </w:r>
      <w:r w:rsidR="005C3B2D" w:rsidRPr="00F80467">
        <w:t>to</w:t>
      </w:r>
      <w:r w:rsidRPr="00F80467">
        <w:t xml:space="preserve"> Rough Sleeping Initiative (RSI) and Rapid Rehousing Pathway (RRP) funding submitted by Oxford City Council and Cherwell District Council on behalf of partner </w:t>
      </w:r>
      <w:proofErr w:type="gramStart"/>
      <w:r w:rsidRPr="00F80467">
        <w:t>authorities,</w:t>
      </w:r>
      <w:proofErr w:type="gramEnd"/>
      <w:r w:rsidRPr="00F80467">
        <w:t xml:space="preserve"> ha</w:t>
      </w:r>
      <w:r w:rsidR="005C3B2D" w:rsidRPr="00F80467">
        <w:t>ve</w:t>
      </w:r>
      <w:r w:rsidRPr="00F80467">
        <w:t xml:space="preserve"> helped to develop more co-ordinated services for persons sleeping rough or at risk of homelessness.</w:t>
      </w:r>
    </w:p>
    <w:p w:rsidR="007D5A71" w:rsidRPr="00F80467" w:rsidRDefault="007D5A71" w:rsidP="007D5A71">
      <w:pPr>
        <w:pStyle w:val="ListParagraph"/>
        <w:numPr>
          <w:ilvl w:val="0"/>
          <w:numId w:val="0"/>
        </w:numPr>
        <w:ind w:left="426"/>
      </w:pPr>
    </w:p>
    <w:p w:rsidR="007D5A71" w:rsidRPr="00F80467" w:rsidRDefault="004605C7" w:rsidP="007D5A71">
      <w:pPr>
        <w:pStyle w:val="ListParagraph"/>
        <w:numPr>
          <w:ilvl w:val="0"/>
          <w:numId w:val="11"/>
        </w:numPr>
        <w:spacing w:after="0"/>
        <w:rPr>
          <w:rFonts w:cs="Arial"/>
          <w:color w:val="auto"/>
        </w:rPr>
      </w:pPr>
      <w:r w:rsidRPr="00F80467">
        <w:t xml:space="preserve">In Oxford, the City Council’s successful bid for (RSI) funding has already delivered positive results. 44% of rough sleepers who visited the new multi-agency service hub between September and March </w:t>
      </w:r>
      <w:r w:rsidR="00C5528C">
        <w:t xml:space="preserve">2019 </w:t>
      </w:r>
      <w:r w:rsidRPr="00F80467">
        <w:t>were in long term accommodation by the end of the period and only</w:t>
      </w:r>
      <w:r w:rsidR="00207B5F">
        <w:t xml:space="preserve"> 27% were still rough sleeping (a</w:t>
      </w:r>
      <w:r w:rsidRPr="00F80467">
        <w:t xml:space="preserve">lmost two thirds </w:t>
      </w:r>
      <w:r w:rsidR="00C5528C">
        <w:t xml:space="preserve">of </w:t>
      </w:r>
      <w:r w:rsidR="00207B5F">
        <w:t>whom</w:t>
      </w:r>
      <w:r w:rsidRPr="00F80467">
        <w:t xml:space="preserve"> were rough sleeping prior to 2018/19</w:t>
      </w:r>
      <w:r w:rsidR="00207B5F">
        <w:t>)</w:t>
      </w:r>
      <w:r w:rsidRPr="00F80467">
        <w:t xml:space="preserve">.  The November street count in Oxford was down from 61 in 2017 to 45 in 2018, suggesting a good impact </w:t>
      </w:r>
      <w:r w:rsidR="00C5528C">
        <w:t>from</w:t>
      </w:r>
      <w:r w:rsidRPr="00F80467">
        <w:t xml:space="preserve"> the initiatives in place so far.</w:t>
      </w:r>
    </w:p>
    <w:p w:rsidR="007D5A71" w:rsidRPr="00F80467" w:rsidRDefault="007D5A71" w:rsidP="007D5A71">
      <w:pPr>
        <w:pStyle w:val="ListParagraph"/>
        <w:numPr>
          <w:ilvl w:val="0"/>
          <w:numId w:val="0"/>
        </w:numPr>
        <w:ind w:left="426"/>
      </w:pPr>
    </w:p>
    <w:p w:rsidR="007D5A71" w:rsidRPr="00F80467" w:rsidRDefault="004605C7" w:rsidP="007D5A71">
      <w:pPr>
        <w:pStyle w:val="ListParagraph"/>
        <w:numPr>
          <w:ilvl w:val="0"/>
          <w:numId w:val="11"/>
        </w:numPr>
        <w:spacing w:after="0"/>
        <w:rPr>
          <w:rFonts w:cs="Arial"/>
          <w:color w:val="auto"/>
        </w:rPr>
      </w:pPr>
      <w:r w:rsidRPr="00F80467">
        <w:t>Floyd’s Row is the first step towards the transformation of Oxfordshire’s services and support for rough sleepers and single homeless people, with the focus on prevention and early intervention, engaging people with services and co-producing accurate assessments of need in order to prevent a return to the street.</w:t>
      </w:r>
    </w:p>
    <w:p w:rsidR="007D5A71" w:rsidRPr="00F80467" w:rsidRDefault="007D5A71" w:rsidP="007D5A71">
      <w:pPr>
        <w:pStyle w:val="ListParagraph"/>
        <w:numPr>
          <w:ilvl w:val="0"/>
          <w:numId w:val="0"/>
        </w:numPr>
        <w:ind w:left="426"/>
      </w:pPr>
    </w:p>
    <w:p w:rsidR="004605C7" w:rsidRPr="00F80467" w:rsidRDefault="004605C7" w:rsidP="007D5A71">
      <w:pPr>
        <w:pStyle w:val="ListParagraph"/>
        <w:numPr>
          <w:ilvl w:val="0"/>
          <w:numId w:val="11"/>
        </w:numPr>
        <w:spacing w:after="0"/>
        <w:rPr>
          <w:rFonts w:cs="Arial"/>
          <w:color w:val="auto"/>
        </w:rPr>
      </w:pPr>
      <w:r w:rsidRPr="00F80467">
        <w:t>The vision for Floyds Row is that it will deliver a range of services that will be available to all those in need</w:t>
      </w:r>
      <w:r w:rsidR="00207B5F">
        <w:t xml:space="preserve"> (regardless of local connection)</w:t>
      </w:r>
      <w:r w:rsidRPr="00F80467">
        <w:t xml:space="preserve">, including: </w:t>
      </w:r>
    </w:p>
    <w:p w:rsidR="00310EF7" w:rsidRPr="00F80467" w:rsidRDefault="00310EF7" w:rsidP="00310EF7"/>
    <w:p w:rsidR="004605C7" w:rsidRPr="00F80467" w:rsidRDefault="004605C7" w:rsidP="00310EF7">
      <w:pPr>
        <w:pStyle w:val="ListParagraph"/>
        <w:numPr>
          <w:ilvl w:val="0"/>
          <w:numId w:val="16"/>
        </w:numPr>
        <w:tabs>
          <w:tab w:val="clear" w:pos="426"/>
        </w:tabs>
        <w:spacing w:after="0"/>
        <w:ind w:left="791"/>
        <w:contextualSpacing/>
      </w:pPr>
      <w:r w:rsidRPr="00F80467">
        <w:t xml:space="preserve">Dedicated </w:t>
      </w:r>
      <w:r w:rsidRPr="00F80467">
        <w:rPr>
          <w:b/>
        </w:rPr>
        <w:t>winter shelter</w:t>
      </w:r>
      <w:r w:rsidRPr="00F80467">
        <w:t xml:space="preserve"> (16 spaces) and a</w:t>
      </w:r>
      <w:r w:rsidR="00310EF7" w:rsidRPr="00F80467">
        <w:t>n</w:t>
      </w:r>
      <w:r w:rsidRPr="00F80467">
        <w:t xml:space="preserve"> </w:t>
      </w:r>
      <w:r w:rsidR="00310EF7" w:rsidRPr="00F80467">
        <w:rPr>
          <w:b/>
        </w:rPr>
        <w:t>assessment hub</w:t>
      </w:r>
      <w:r w:rsidR="00310EF7" w:rsidRPr="00F80467">
        <w:t xml:space="preserve"> operating</w:t>
      </w:r>
      <w:r w:rsidR="00310EF7" w:rsidRPr="00F80467">
        <w:rPr>
          <w:b/>
        </w:rPr>
        <w:t xml:space="preserve"> </w:t>
      </w:r>
      <w:r w:rsidRPr="00F80467">
        <w:t>24/7, 365 days a year</w:t>
      </w:r>
      <w:r w:rsidR="00565302" w:rsidRPr="00F80467">
        <w:t>,</w:t>
      </w:r>
      <w:r w:rsidR="00310EF7" w:rsidRPr="00F80467">
        <w:t xml:space="preserve"> as a </w:t>
      </w:r>
      <w:r w:rsidRPr="00F80467">
        <w:t xml:space="preserve">safe venue </w:t>
      </w:r>
      <w:r w:rsidR="00310EF7" w:rsidRPr="00F80467">
        <w:t xml:space="preserve">to </w:t>
      </w:r>
      <w:r w:rsidRPr="00F80467">
        <w:t>support</w:t>
      </w:r>
      <w:r w:rsidR="00310EF7" w:rsidRPr="00F80467">
        <w:t xml:space="preserve"> </w:t>
      </w:r>
      <w:r w:rsidRPr="00F80467">
        <w:t xml:space="preserve">people rough sleeping </w:t>
      </w:r>
      <w:r w:rsidR="00310EF7" w:rsidRPr="00F80467">
        <w:t xml:space="preserve">and often </w:t>
      </w:r>
      <w:r w:rsidRPr="00F80467">
        <w:t>with complex needs</w:t>
      </w:r>
    </w:p>
    <w:p w:rsidR="004605C7" w:rsidRPr="00F80467" w:rsidRDefault="004605C7" w:rsidP="00310EF7">
      <w:pPr>
        <w:pStyle w:val="ListParagraph"/>
        <w:numPr>
          <w:ilvl w:val="0"/>
          <w:numId w:val="16"/>
        </w:numPr>
        <w:tabs>
          <w:tab w:val="clear" w:pos="426"/>
        </w:tabs>
        <w:spacing w:after="0"/>
        <w:ind w:left="791"/>
        <w:contextualSpacing/>
      </w:pPr>
      <w:r w:rsidRPr="00F80467">
        <w:t xml:space="preserve">Specialised </w:t>
      </w:r>
      <w:r w:rsidR="00F92F56" w:rsidRPr="00F80467">
        <w:t xml:space="preserve">clinical </w:t>
      </w:r>
      <w:r w:rsidRPr="00F80467">
        <w:rPr>
          <w:b/>
        </w:rPr>
        <w:t>treatment hub</w:t>
      </w:r>
      <w:r w:rsidRPr="00F80467">
        <w:t xml:space="preserve"> for single homeless people with drug and alcohol issues which will greatly improve opportunities to engage people in </w:t>
      </w:r>
      <w:r w:rsidRPr="00F80467">
        <w:lastRenderedPageBreak/>
        <w:t>services when they seek accommodation</w:t>
      </w:r>
      <w:r w:rsidR="00F92F56" w:rsidRPr="00F80467">
        <w:t>; improve health outcomes; and reduce dependency on emergency services</w:t>
      </w:r>
    </w:p>
    <w:p w:rsidR="004605C7" w:rsidRPr="00F80467" w:rsidRDefault="004605C7" w:rsidP="00310EF7">
      <w:pPr>
        <w:pStyle w:val="ListParagraph"/>
        <w:numPr>
          <w:ilvl w:val="0"/>
          <w:numId w:val="16"/>
        </w:numPr>
        <w:tabs>
          <w:tab w:val="clear" w:pos="426"/>
        </w:tabs>
        <w:spacing w:after="0"/>
        <w:ind w:left="791"/>
        <w:contextualSpacing/>
      </w:pPr>
      <w:r w:rsidRPr="00F80467">
        <w:rPr>
          <w:b/>
        </w:rPr>
        <w:t>Somewhere safe to stay service</w:t>
      </w:r>
      <w:r w:rsidRPr="00F80467">
        <w:t xml:space="preserve"> (20 spaces) </w:t>
      </w:r>
      <w:r w:rsidR="00565302" w:rsidRPr="00F80467">
        <w:t xml:space="preserve">stays </w:t>
      </w:r>
      <w:r w:rsidR="005C3B2D" w:rsidRPr="00F80467">
        <w:t xml:space="preserve">of </w:t>
      </w:r>
      <w:r w:rsidRPr="00F80467">
        <w:t xml:space="preserve">up to </w:t>
      </w:r>
      <w:r w:rsidR="005C3B2D" w:rsidRPr="00F80467">
        <w:t>seven days</w:t>
      </w:r>
      <w:r w:rsidRPr="00F80467">
        <w:t xml:space="preserve"> including some provision to those withou</w:t>
      </w:r>
      <w:r w:rsidR="00207B5F">
        <w:t>t recourse to public funds, and</w:t>
      </w:r>
    </w:p>
    <w:p w:rsidR="004605C7" w:rsidRDefault="004605C7" w:rsidP="00310EF7">
      <w:pPr>
        <w:pStyle w:val="ListParagraph"/>
        <w:numPr>
          <w:ilvl w:val="0"/>
          <w:numId w:val="16"/>
        </w:numPr>
        <w:tabs>
          <w:tab w:val="clear" w:pos="426"/>
        </w:tabs>
        <w:spacing w:after="0"/>
        <w:ind w:left="791"/>
        <w:contextualSpacing/>
      </w:pPr>
      <w:r w:rsidRPr="00F80467">
        <w:rPr>
          <w:b/>
        </w:rPr>
        <w:t xml:space="preserve">Staging Post </w:t>
      </w:r>
      <w:r w:rsidRPr="00F80467">
        <w:t>(20 spaces),</w:t>
      </w:r>
      <w:r w:rsidRPr="00F80467">
        <w:rPr>
          <w:b/>
        </w:rPr>
        <w:t xml:space="preserve"> </w:t>
      </w:r>
      <w:r w:rsidRPr="00F80467">
        <w:t xml:space="preserve">to accommodate people for up to </w:t>
      </w:r>
      <w:r w:rsidR="005C3B2D" w:rsidRPr="00F80467">
        <w:t>28 days</w:t>
      </w:r>
      <w:r w:rsidRPr="00F80467">
        <w:t xml:space="preserve"> to facilitate them moving forward with their housing plan</w:t>
      </w:r>
      <w:r w:rsidR="00207B5F">
        <w:t>.</w:t>
      </w:r>
    </w:p>
    <w:p w:rsidR="001C3A6C" w:rsidRPr="00F80467" w:rsidRDefault="001C3A6C" w:rsidP="001C3A6C">
      <w:pPr>
        <w:pStyle w:val="ListParagraph"/>
        <w:numPr>
          <w:ilvl w:val="0"/>
          <w:numId w:val="0"/>
        </w:numPr>
        <w:tabs>
          <w:tab w:val="clear" w:pos="426"/>
        </w:tabs>
        <w:spacing w:after="0"/>
        <w:ind w:left="791"/>
        <w:contextualSpacing/>
      </w:pPr>
    </w:p>
    <w:p w:rsidR="004605C7" w:rsidRPr="00F80467" w:rsidRDefault="00310EF7" w:rsidP="0029720A">
      <w:pPr>
        <w:pStyle w:val="ListParagraph"/>
        <w:numPr>
          <w:ilvl w:val="0"/>
          <w:numId w:val="11"/>
        </w:numPr>
        <w:spacing w:after="0"/>
        <w:contextualSpacing/>
      </w:pPr>
      <w:r w:rsidRPr="00F80467">
        <w:t>The accommodation facilities will mostly be dormitory based, but will have s</w:t>
      </w:r>
      <w:r w:rsidR="004605C7" w:rsidRPr="00F80467">
        <w:t>eparate provision for women</w:t>
      </w:r>
      <w:r w:rsidRPr="00F80467">
        <w:t>,</w:t>
      </w:r>
      <w:r w:rsidR="004605C7" w:rsidRPr="00F80467">
        <w:t xml:space="preserve"> </w:t>
      </w:r>
      <w:r w:rsidRPr="00F80467">
        <w:t xml:space="preserve">and separate </w:t>
      </w:r>
      <w:r w:rsidR="00565302" w:rsidRPr="00F80467">
        <w:t xml:space="preserve">rooms/ </w:t>
      </w:r>
      <w:r w:rsidRPr="00F80467">
        <w:t xml:space="preserve">bedrooms that can be </w:t>
      </w:r>
      <w:r w:rsidR="00565302" w:rsidRPr="00F80467">
        <w:t xml:space="preserve">available </w:t>
      </w:r>
      <w:r w:rsidRPr="00F80467">
        <w:t xml:space="preserve">for </w:t>
      </w:r>
      <w:r w:rsidR="004605C7" w:rsidRPr="00F80467">
        <w:t>vulnerable</w:t>
      </w:r>
      <w:r w:rsidRPr="00F80467">
        <w:t xml:space="preserve"> people</w:t>
      </w:r>
    </w:p>
    <w:p w:rsidR="004605C7" w:rsidRPr="00F80467" w:rsidRDefault="004605C7" w:rsidP="004605C7">
      <w:pPr>
        <w:ind w:left="71"/>
      </w:pPr>
    </w:p>
    <w:p w:rsidR="00310EF7" w:rsidRPr="00F80467" w:rsidRDefault="00310EF7" w:rsidP="007D5A71">
      <w:pPr>
        <w:pStyle w:val="ListParagraph"/>
        <w:numPr>
          <w:ilvl w:val="0"/>
          <w:numId w:val="11"/>
        </w:numPr>
      </w:pPr>
      <w:r w:rsidRPr="00F80467">
        <w:t xml:space="preserve">Crucially, Floyds Row will provide a front door available to clients at risk of rough sleeping.   As such it is a key enabler for a new preventative focused way of working, building on the success of the current countywide Trailblazer programme, as well as joint working between Housing Options and outreach teams at the temporary RSI hub.  </w:t>
      </w:r>
    </w:p>
    <w:p w:rsidR="007D5A71" w:rsidRPr="008357B2" w:rsidRDefault="007D5A71" w:rsidP="007D5A71">
      <w:pPr>
        <w:pStyle w:val="ListParagraph"/>
        <w:numPr>
          <w:ilvl w:val="0"/>
          <w:numId w:val="0"/>
        </w:numPr>
        <w:ind w:left="360"/>
        <w:rPr>
          <w:sz w:val="20"/>
          <w:szCs w:val="20"/>
        </w:rPr>
      </w:pPr>
    </w:p>
    <w:p w:rsidR="00310EF7" w:rsidRPr="00F80467" w:rsidRDefault="00310EF7" w:rsidP="00310EF7">
      <w:pPr>
        <w:rPr>
          <w:b/>
        </w:rPr>
      </w:pPr>
      <w:r w:rsidRPr="00F80467">
        <w:rPr>
          <w:b/>
        </w:rPr>
        <w:t>Progress Update</w:t>
      </w:r>
    </w:p>
    <w:p w:rsidR="007D5A71" w:rsidRPr="00F80467" w:rsidRDefault="007D5A71" w:rsidP="00310EF7">
      <w:pPr>
        <w:rPr>
          <w:b/>
        </w:rPr>
      </w:pPr>
    </w:p>
    <w:p w:rsidR="007D5A71" w:rsidRPr="00F80467" w:rsidRDefault="00C86423" w:rsidP="007D5A71">
      <w:pPr>
        <w:pStyle w:val="ListParagraph"/>
        <w:numPr>
          <w:ilvl w:val="0"/>
          <w:numId w:val="11"/>
        </w:numPr>
      </w:pPr>
      <w:r w:rsidRPr="00F80467">
        <w:t xml:space="preserve">The City Council was successful in its bid to the MHCLG, under the Rapid Rehousing Pathway fund, </w:t>
      </w:r>
      <w:r w:rsidRPr="00F80467">
        <w:rPr>
          <w:lang w:val="en-US"/>
        </w:rPr>
        <w:t xml:space="preserve">to support the project at </w:t>
      </w:r>
      <w:r w:rsidR="007402A1" w:rsidRPr="00F80467">
        <w:rPr>
          <w:color w:val="auto"/>
          <w:lang w:val="en-US"/>
        </w:rPr>
        <w:t xml:space="preserve">Floyd’s Row. </w:t>
      </w:r>
      <w:r w:rsidR="00E84765" w:rsidRPr="00F80467">
        <w:rPr>
          <w:color w:val="auto"/>
          <w:lang w:val="en-US"/>
        </w:rPr>
        <w:t>The bid was led by the City council but made in partnership with</w:t>
      </w:r>
      <w:r w:rsidR="00E84765" w:rsidRPr="00F80467">
        <w:t>the other Oxfordshire Councils.</w:t>
      </w:r>
      <w:r w:rsidR="00E84765" w:rsidRPr="00F80467">
        <w:rPr>
          <w:color w:val="auto"/>
          <w:lang w:val="en-US"/>
        </w:rPr>
        <w:t xml:space="preserve"> </w:t>
      </w:r>
      <w:r w:rsidR="007402A1" w:rsidRPr="00F80467">
        <w:rPr>
          <w:color w:val="auto"/>
          <w:lang w:val="en-US"/>
        </w:rPr>
        <w:t>The grant awarded</w:t>
      </w:r>
      <w:r w:rsidRPr="00F80467">
        <w:rPr>
          <w:color w:val="auto"/>
          <w:lang w:val="en-US"/>
        </w:rPr>
        <w:t xml:space="preserve"> was for </w:t>
      </w:r>
      <w:r w:rsidRPr="005225D8">
        <w:rPr>
          <w:color w:val="auto"/>
          <w:lang w:val="en-US"/>
        </w:rPr>
        <w:fldChar w:fldCharType="begin"/>
      </w:r>
      <w:r w:rsidRPr="00F80467">
        <w:rPr>
          <w:color w:val="auto"/>
          <w:lang w:val="en-US"/>
        </w:rPr>
        <w:instrText xml:space="preserve"> MERGEFIELD Capital_ </w:instrText>
      </w:r>
      <w:r w:rsidRPr="005225D8">
        <w:rPr>
          <w:color w:val="auto"/>
          <w:lang w:val="en-US"/>
        </w:rPr>
        <w:fldChar w:fldCharType="separate"/>
      </w:r>
      <w:r w:rsidRPr="00F80467">
        <w:rPr>
          <w:noProof/>
          <w:color w:val="auto"/>
          <w:lang w:val="en-US"/>
        </w:rPr>
        <w:t>£275,000</w:t>
      </w:r>
      <w:r w:rsidRPr="005225D8">
        <w:rPr>
          <w:color w:val="auto"/>
          <w:lang w:val="en-US"/>
        </w:rPr>
        <w:fldChar w:fldCharType="end"/>
      </w:r>
      <w:r w:rsidRPr="00F80467">
        <w:rPr>
          <w:color w:val="auto"/>
          <w:lang w:val="en-US"/>
        </w:rPr>
        <w:t xml:space="preserve"> capital funding and </w:t>
      </w:r>
      <w:r w:rsidRPr="005225D8">
        <w:rPr>
          <w:color w:val="auto"/>
          <w:lang w:val="en-US"/>
        </w:rPr>
        <w:fldChar w:fldCharType="begin"/>
      </w:r>
      <w:r w:rsidRPr="00F80467">
        <w:rPr>
          <w:color w:val="auto"/>
          <w:lang w:val="en-US"/>
        </w:rPr>
        <w:instrText xml:space="preserve"> MERGEFIELD "Revenue" </w:instrText>
      </w:r>
      <w:r w:rsidRPr="005225D8">
        <w:rPr>
          <w:color w:val="auto"/>
          <w:lang w:val="en-US"/>
        </w:rPr>
        <w:fldChar w:fldCharType="separate"/>
      </w:r>
      <w:r w:rsidRPr="00F80467">
        <w:rPr>
          <w:noProof/>
          <w:color w:val="auto"/>
          <w:lang w:val="en-US"/>
        </w:rPr>
        <w:t>£483,700</w:t>
      </w:r>
      <w:r w:rsidRPr="005225D8">
        <w:rPr>
          <w:color w:val="auto"/>
          <w:lang w:val="en-US"/>
        </w:rPr>
        <w:fldChar w:fldCharType="end"/>
      </w:r>
      <w:r w:rsidRPr="00F80467">
        <w:rPr>
          <w:color w:val="auto"/>
          <w:lang w:val="en-US"/>
        </w:rPr>
        <w:t xml:space="preserve"> revenue</w:t>
      </w:r>
      <w:r w:rsidR="00602A98" w:rsidRPr="00F80467">
        <w:rPr>
          <w:color w:val="auto"/>
          <w:lang w:val="en-US"/>
        </w:rPr>
        <w:t xml:space="preserve"> for spending in 2019/20</w:t>
      </w:r>
      <w:r w:rsidRPr="00F80467">
        <w:rPr>
          <w:color w:val="auto"/>
          <w:lang w:val="en-US"/>
        </w:rPr>
        <w:t xml:space="preserve">.  This </w:t>
      </w:r>
      <w:r w:rsidR="007402A1" w:rsidRPr="00F80467">
        <w:rPr>
          <w:color w:val="auto"/>
          <w:lang w:val="en-US"/>
        </w:rPr>
        <w:t xml:space="preserve">was conditional on </w:t>
      </w:r>
      <w:r w:rsidR="007402A1" w:rsidRPr="00F80467">
        <w:rPr>
          <w:rFonts w:cs="Arial"/>
          <w:color w:val="auto"/>
        </w:rPr>
        <w:t xml:space="preserve">the Council </w:t>
      </w:r>
      <w:r w:rsidRPr="00F80467">
        <w:rPr>
          <w:rFonts w:cs="Arial"/>
          <w:color w:val="auto"/>
        </w:rPr>
        <w:t>deliver</w:t>
      </w:r>
      <w:r w:rsidR="007402A1" w:rsidRPr="00F80467">
        <w:rPr>
          <w:rFonts w:cs="Arial"/>
          <w:color w:val="auto"/>
        </w:rPr>
        <w:t>ing</w:t>
      </w:r>
      <w:r w:rsidRPr="00F80467">
        <w:rPr>
          <w:rFonts w:cs="Arial"/>
          <w:color w:val="auto"/>
        </w:rPr>
        <w:t xml:space="preserve"> an interim Somewhere Safe to Stay Service in a temporary location prior to</w:t>
      </w:r>
      <w:r w:rsidR="00E84765" w:rsidRPr="00F80467">
        <w:rPr>
          <w:rFonts w:cs="Arial"/>
          <w:color w:val="auto"/>
        </w:rPr>
        <w:t xml:space="preserve"> the service being delivered from</w:t>
      </w:r>
      <w:r w:rsidR="00BA0F96" w:rsidRPr="00F80467">
        <w:rPr>
          <w:rFonts w:cs="Arial"/>
          <w:color w:val="auto"/>
        </w:rPr>
        <w:t xml:space="preserve"> </w:t>
      </w:r>
      <w:r w:rsidRPr="00F80467">
        <w:rPr>
          <w:rFonts w:cs="Arial"/>
          <w:color w:val="auto"/>
        </w:rPr>
        <w:t>Floyds Row</w:t>
      </w:r>
      <w:r w:rsidR="003E0734" w:rsidRPr="00F80467">
        <w:rPr>
          <w:rFonts w:cs="Arial"/>
          <w:color w:val="auto"/>
        </w:rPr>
        <w:t>,</w:t>
      </w:r>
      <w:r w:rsidRPr="00F80467">
        <w:rPr>
          <w:rFonts w:cs="Arial"/>
          <w:color w:val="auto"/>
        </w:rPr>
        <w:t xml:space="preserve"> once the building is ready</w:t>
      </w:r>
      <w:r w:rsidR="003E0734" w:rsidRPr="00F80467">
        <w:rPr>
          <w:rFonts w:cs="Arial"/>
          <w:color w:val="auto"/>
        </w:rPr>
        <w:t>.</w:t>
      </w:r>
    </w:p>
    <w:p w:rsidR="007D5A71" w:rsidRPr="00F80467" w:rsidRDefault="007D5A71" w:rsidP="007D5A71">
      <w:pPr>
        <w:pStyle w:val="ListParagraph"/>
        <w:numPr>
          <w:ilvl w:val="0"/>
          <w:numId w:val="0"/>
        </w:numPr>
        <w:ind w:left="360"/>
      </w:pPr>
    </w:p>
    <w:p w:rsidR="007D5A71" w:rsidRPr="00F80467" w:rsidRDefault="008A4E39" w:rsidP="007D5A71">
      <w:pPr>
        <w:pStyle w:val="ListParagraph"/>
        <w:numPr>
          <w:ilvl w:val="0"/>
          <w:numId w:val="11"/>
        </w:numPr>
      </w:pPr>
      <w:r w:rsidRPr="00F80467">
        <w:rPr>
          <w:lang w:val="en-US"/>
        </w:rPr>
        <w:t xml:space="preserve">Public Health England has also </w:t>
      </w:r>
      <w:proofErr w:type="gramStart"/>
      <w:r w:rsidRPr="00F80467">
        <w:rPr>
          <w:lang w:val="en-US"/>
        </w:rPr>
        <w:t>awarded</w:t>
      </w:r>
      <w:r w:rsidR="00C5528C">
        <w:rPr>
          <w:lang w:val="en-US"/>
        </w:rPr>
        <w:t xml:space="preserve"> </w:t>
      </w:r>
      <w:r w:rsidRPr="00F80467">
        <w:rPr>
          <w:lang w:val="en-US"/>
        </w:rPr>
        <w:t xml:space="preserve"> £</w:t>
      </w:r>
      <w:proofErr w:type="gramEnd"/>
      <w:r w:rsidRPr="00F80467">
        <w:rPr>
          <w:lang w:val="en-US"/>
        </w:rPr>
        <w:t xml:space="preserve">100,000 </w:t>
      </w:r>
      <w:r w:rsidR="00C5528C">
        <w:rPr>
          <w:lang w:val="en-US"/>
        </w:rPr>
        <w:t xml:space="preserve">of </w:t>
      </w:r>
      <w:r w:rsidRPr="00F80467">
        <w:rPr>
          <w:lang w:val="en-US"/>
        </w:rPr>
        <w:t>capital funding to the project</w:t>
      </w:r>
      <w:r w:rsidR="00F92F56" w:rsidRPr="00F80467">
        <w:rPr>
          <w:lang w:val="en-US"/>
        </w:rPr>
        <w:t>,</w:t>
      </w:r>
      <w:r w:rsidRPr="00F80467">
        <w:rPr>
          <w:lang w:val="en-US"/>
        </w:rPr>
        <w:t xml:space="preserve"> </w:t>
      </w:r>
      <w:r w:rsidR="00F92F56" w:rsidRPr="00F80467">
        <w:rPr>
          <w:lang w:val="en-US"/>
        </w:rPr>
        <w:t>following a successful bid submission</w:t>
      </w:r>
      <w:r w:rsidR="00E84765" w:rsidRPr="00F80467">
        <w:rPr>
          <w:lang w:val="en-US"/>
        </w:rPr>
        <w:t xml:space="preserve"> made in partnership with Oxfordshire County Council. This will</w:t>
      </w:r>
      <w:r w:rsidRPr="00F80467">
        <w:rPr>
          <w:lang w:val="en-US"/>
        </w:rPr>
        <w:t xml:space="preserve"> fund a </w:t>
      </w:r>
      <w:r w:rsidR="00F92F56" w:rsidRPr="00F80467">
        <w:rPr>
          <w:lang w:val="en-US"/>
        </w:rPr>
        <w:t xml:space="preserve">clinical </w:t>
      </w:r>
      <w:r w:rsidRPr="00F80467">
        <w:rPr>
          <w:lang w:val="en-US"/>
        </w:rPr>
        <w:t>treatment facility</w:t>
      </w:r>
      <w:r w:rsidR="003E0734" w:rsidRPr="00F80467">
        <w:rPr>
          <w:lang w:val="en-US"/>
        </w:rPr>
        <w:t xml:space="preserve"> for drug and alcohol recovery, </w:t>
      </w:r>
      <w:r w:rsidRPr="00F80467">
        <w:rPr>
          <w:lang w:val="en-US"/>
        </w:rPr>
        <w:t>as part of the offer</w:t>
      </w:r>
      <w:r w:rsidR="003E0734" w:rsidRPr="00F80467">
        <w:rPr>
          <w:lang w:val="en-US"/>
        </w:rPr>
        <w:t xml:space="preserve"> for clients</w:t>
      </w:r>
      <w:r w:rsidRPr="00F80467">
        <w:rPr>
          <w:lang w:val="en-US"/>
        </w:rPr>
        <w:t xml:space="preserve"> </w:t>
      </w:r>
      <w:r w:rsidR="003E0734" w:rsidRPr="00F80467">
        <w:rPr>
          <w:lang w:val="en-US"/>
        </w:rPr>
        <w:t>visiting or staying in</w:t>
      </w:r>
      <w:r w:rsidRPr="00F80467">
        <w:rPr>
          <w:lang w:val="en-US"/>
        </w:rPr>
        <w:t xml:space="preserve"> the building.</w:t>
      </w:r>
    </w:p>
    <w:p w:rsidR="007D5A71" w:rsidRPr="00F80467" w:rsidRDefault="007D5A71" w:rsidP="007D5A71">
      <w:pPr>
        <w:pStyle w:val="ListParagraph"/>
        <w:numPr>
          <w:ilvl w:val="0"/>
          <w:numId w:val="0"/>
        </w:numPr>
        <w:ind w:left="426"/>
        <w:rPr>
          <w:rFonts w:cs="Arial"/>
          <w:color w:val="auto"/>
        </w:rPr>
      </w:pPr>
    </w:p>
    <w:p w:rsidR="007D5A71" w:rsidRPr="00F80467" w:rsidRDefault="009E1565" w:rsidP="007D5A71">
      <w:pPr>
        <w:pStyle w:val="ListParagraph"/>
        <w:numPr>
          <w:ilvl w:val="0"/>
          <w:numId w:val="11"/>
        </w:numPr>
      </w:pPr>
      <w:r w:rsidRPr="00F80467">
        <w:rPr>
          <w:rFonts w:cs="Arial"/>
          <w:color w:val="auto"/>
        </w:rPr>
        <w:t xml:space="preserve">Since </w:t>
      </w:r>
      <w:r w:rsidR="00C5528C">
        <w:rPr>
          <w:rFonts w:cs="Arial"/>
          <w:color w:val="auto"/>
        </w:rPr>
        <w:t xml:space="preserve">the </w:t>
      </w:r>
      <w:r w:rsidR="00C86423" w:rsidRPr="00F80467">
        <w:rPr>
          <w:rFonts w:cs="Arial"/>
          <w:color w:val="auto"/>
        </w:rPr>
        <w:t xml:space="preserve">City Executive Board </w:t>
      </w:r>
      <w:r w:rsidR="00C5528C">
        <w:rPr>
          <w:rFonts w:cs="Arial"/>
          <w:color w:val="auto"/>
        </w:rPr>
        <w:t xml:space="preserve">meeting </w:t>
      </w:r>
      <w:r w:rsidR="00C86423" w:rsidRPr="00F80467">
        <w:rPr>
          <w:rFonts w:cs="Arial"/>
          <w:color w:val="auto"/>
        </w:rPr>
        <w:t xml:space="preserve">in </w:t>
      </w:r>
      <w:r w:rsidR="00310EF7" w:rsidRPr="00F80467">
        <w:rPr>
          <w:rFonts w:cs="Arial"/>
          <w:color w:val="auto"/>
        </w:rPr>
        <w:t>April 2019</w:t>
      </w:r>
      <w:r w:rsidRPr="00F80467">
        <w:rPr>
          <w:rFonts w:cs="Arial"/>
          <w:color w:val="auto"/>
        </w:rPr>
        <w:t xml:space="preserve">, </w:t>
      </w:r>
      <w:r w:rsidR="00C86423" w:rsidRPr="00F80467">
        <w:rPr>
          <w:rFonts w:cs="Arial"/>
          <w:color w:val="auto"/>
        </w:rPr>
        <w:t xml:space="preserve">and the bid submission, </w:t>
      </w:r>
      <w:r w:rsidR="00F23515" w:rsidRPr="00F80467">
        <w:rPr>
          <w:rFonts w:cs="Arial"/>
          <w:color w:val="auto"/>
        </w:rPr>
        <w:t>t</w:t>
      </w:r>
      <w:r w:rsidR="00F23515" w:rsidRPr="00F80467">
        <w:t>he development of the building and services at Floyds Row has progressed at pace</w:t>
      </w:r>
      <w:r w:rsidR="00602A98" w:rsidRPr="00F80467">
        <w:t xml:space="preserve"> under existing budget approvals</w:t>
      </w:r>
      <w:r w:rsidR="002D2267">
        <w:rPr>
          <w:rFonts w:cs="Arial"/>
          <w:color w:val="auto"/>
        </w:rPr>
        <w:t xml:space="preserve">. </w:t>
      </w:r>
      <w:r w:rsidR="00310EF7" w:rsidRPr="00F80467">
        <w:rPr>
          <w:rFonts w:cs="Arial"/>
          <w:color w:val="auto"/>
        </w:rPr>
        <w:t>Since th</w:t>
      </w:r>
      <w:r w:rsidR="007402A1" w:rsidRPr="00F80467">
        <w:rPr>
          <w:rFonts w:cs="Arial"/>
          <w:color w:val="auto"/>
        </w:rPr>
        <w:t>en</w:t>
      </w:r>
      <w:r w:rsidR="00310EF7" w:rsidRPr="00F80467">
        <w:rPr>
          <w:rFonts w:cs="Arial"/>
          <w:color w:val="auto"/>
        </w:rPr>
        <w:t>, the full extent of the works required to change the use of th</w:t>
      </w:r>
      <w:r w:rsidR="007402A1" w:rsidRPr="00F80467">
        <w:rPr>
          <w:rFonts w:cs="Arial"/>
          <w:color w:val="auto"/>
        </w:rPr>
        <w:t>e</w:t>
      </w:r>
      <w:r w:rsidR="00310EF7" w:rsidRPr="00F80467">
        <w:rPr>
          <w:rFonts w:cs="Arial"/>
          <w:color w:val="auto"/>
        </w:rPr>
        <w:t xml:space="preserve"> building for this new purpose has been fully explo</w:t>
      </w:r>
      <w:r w:rsidR="002D2267">
        <w:rPr>
          <w:rFonts w:cs="Arial"/>
          <w:color w:val="auto"/>
        </w:rPr>
        <w:t xml:space="preserve">red; costed and market tested. </w:t>
      </w:r>
      <w:r w:rsidR="00310EF7" w:rsidRPr="00F80467">
        <w:rPr>
          <w:rFonts w:cs="Arial"/>
          <w:color w:val="auto"/>
        </w:rPr>
        <w:t xml:space="preserve">These </w:t>
      </w:r>
      <w:r w:rsidR="00F23515" w:rsidRPr="00F80467">
        <w:rPr>
          <w:rFonts w:cs="Arial"/>
          <w:color w:val="auto"/>
        </w:rPr>
        <w:t xml:space="preserve">costs </w:t>
      </w:r>
      <w:r w:rsidR="00310EF7" w:rsidRPr="00F80467">
        <w:rPr>
          <w:rFonts w:cs="Arial"/>
          <w:color w:val="auto"/>
        </w:rPr>
        <w:t>have</w:t>
      </w:r>
      <w:r w:rsidR="00C86423" w:rsidRPr="00F80467">
        <w:rPr>
          <w:rFonts w:cs="Arial"/>
          <w:color w:val="auto"/>
        </w:rPr>
        <w:t xml:space="preserve"> however, </w:t>
      </w:r>
      <w:r w:rsidR="00310EF7" w:rsidRPr="00F80467">
        <w:rPr>
          <w:rFonts w:cs="Arial"/>
          <w:color w:val="auto"/>
        </w:rPr>
        <w:t>increased significantly from the initial estimates</w:t>
      </w:r>
      <w:r w:rsidR="00C86423" w:rsidRPr="00F80467">
        <w:rPr>
          <w:rFonts w:cs="Arial"/>
          <w:color w:val="auto"/>
        </w:rPr>
        <w:t xml:space="preserve"> and </w:t>
      </w:r>
      <w:r w:rsidR="007402A1" w:rsidRPr="00F80467">
        <w:rPr>
          <w:rFonts w:cs="Arial"/>
          <w:color w:val="auto"/>
        </w:rPr>
        <w:t xml:space="preserve">the </w:t>
      </w:r>
      <w:r w:rsidR="00C86423" w:rsidRPr="00F80467">
        <w:rPr>
          <w:rFonts w:cs="Arial"/>
          <w:color w:val="auto"/>
        </w:rPr>
        <w:t xml:space="preserve">budget envelope originally envisaged, with </w:t>
      </w:r>
      <w:r w:rsidR="00C86423" w:rsidRPr="00F80467">
        <w:rPr>
          <w:color w:val="auto"/>
        </w:rPr>
        <w:t>both revenue and capital funding gaps currently identified.</w:t>
      </w:r>
    </w:p>
    <w:p w:rsidR="007D5A71" w:rsidRPr="00F80467" w:rsidRDefault="007D5A71" w:rsidP="007D5A71">
      <w:pPr>
        <w:pStyle w:val="ListParagraph"/>
        <w:numPr>
          <w:ilvl w:val="0"/>
          <w:numId w:val="0"/>
        </w:numPr>
        <w:ind w:left="426"/>
        <w:rPr>
          <w:rFonts w:cs="Arial"/>
          <w:color w:val="auto"/>
        </w:rPr>
      </w:pPr>
    </w:p>
    <w:p w:rsidR="00C86423" w:rsidRPr="00F80467" w:rsidRDefault="00C86423" w:rsidP="007D5A71">
      <w:pPr>
        <w:pStyle w:val="ListParagraph"/>
        <w:numPr>
          <w:ilvl w:val="0"/>
          <w:numId w:val="11"/>
        </w:numPr>
      </w:pPr>
      <w:r w:rsidRPr="00F80467">
        <w:rPr>
          <w:rFonts w:cs="Arial"/>
          <w:color w:val="auto"/>
        </w:rPr>
        <w:t xml:space="preserve">The significant </w:t>
      </w:r>
      <w:r w:rsidR="00F92F56" w:rsidRPr="00F80467">
        <w:rPr>
          <w:rFonts w:cs="Arial"/>
          <w:color w:val="auto"/>
        </w:rPr>
        <w:t xml:space="preserve">capital </w:t>
      </w:r>
      <w:r w:rsidRPr="00F80467">
        <w:rPr>
          <w:rFonts w:cs="Arial"/>
          <w:color w:val="auto"/>
        </w:rPr>
        <w:t xml:space="preserve">cost increases have </w:t>
      </w:r>
      <w:r w:rsidR="007402A1" w:rsidRPr="00F80467">
        <w:rPr>
          <w:rFonts w:cs="Arial"/>
          <w:color w:val="auto"/>
        </w:rPr>
        <w:t xml:space="preserve">mostly </w:t>
      </w:r>
      <w:r w:rsidRPr="00F80467">
        <w:rPr>
          <w:rFonts w:cs="Arial"/>
          <w:color w:val="auto"/>
        </w:rPr>
        <w:t xml:space="preserve">been driven </w:t>
      </w:r>
      <w:r w:rsidR="007402A1" w:rsidRPr="00F80467">
        <w:rPr>
          <w:rFonts w:cs="Arial"/>
          <w:color w:val="auto"/>
        </w:rPr>
        <w:t>from requirements to meet current building regulations due to the change of use of the building</w:t>
      </w:r>
      <w:r w:rsidR="008A4E39" w:rsidRPr="00F80467">
        <w:rPr>
          <w:rFonts w:cs="Arial"/>
          <w:color w:val="auto"/>
        </w:rPr>
        <w:t>, and also the scale of the proposals.</w:t>
      </w:r>
      <w:r w:rsidR="007402A1" w:rsidRPr="00F80467">
        <w:rPr>
          <w:rFonts w:cs="Arial"/>
          <w:color w:val="auto"/>
        </w:rPr>
        <w:t xml:space="preserve"> </w:t>
      </w:r>
      <w:r w:rsidRPr="00F80467">
        <w:rPr>
          <w:rFonts w:cs="Arial"/>
          <w:color w:val="auto"/>
        </w:rPr>
        <w:t>The capital cost of the project ha</w:t>
      </w:r>
      <w:r w:rsidR="00F92F56" w:rsidRPr="00F80467">
        <w:rPr>
          <w:rFonts w:cs="Arial"/>
          <w:color w:val="auto"/>
        </w:rPr>
        <w:t>s</w:t>
      </w:r>
      <w:r w:rsidRPr="00F80467">
        <w:rPr>
          <w:rFonts w:cs="Arial"/>
          <w:color w:val="auto"/>
        </w:rPr>
        <w:t xml:space="preserve"> developed as follows:</w:t>
      </w:r>
    </w:p>
    <w:p w:rsidR="00C86423" w:rsidRDefault="00C86423" w:rsidP="00C86423">
      <w:pPr>
        <w:pStyle w:val="ListParagraph"/>
        <w:numPr>
          <w:ilvl w:val="0"/>
          <w:numId w:val="0"/>
        </w:numPr>
        <w:spacing w:after="0"/>
        <w:ind w:left="360"/>
        <w:rPr>
          <w:rFonts w:cs="Arial"/>
          <w:color w:val="auto"/>
        </w:rPr>
      </w:pPr>
    </w:p>
    <w:p w:rsidR="00905EC2" w:rsidRPr="00F80467" w:rsidRDefault="00905EC2" w:rsidP="00C86423">
      <w:pPr>
        <w:pStyle w:val="ListParagraph"/>
        <w:numPr>
          <w:ilvl w:val="0"/>
          <w:numId w:val="0"/>
        </w:numPr>
        <w:spacing w:after="0"/>
        <w:ind w:left="360"/>
        <w:rPr>
          <w:rFonts w:cs="Arial"/>
          <w:color w:val="auto"/>
        </w:rPr>
      </w:pPr>
    </w:p>
    <w:p w:rsidR="00C86423" w:rsidRPr="00F80467" w:rsidRDefault="00C86423" w:rsidP="00C86423">
      <w:pPr>
        <w:pStyle w:val="ListParagraph"/>
        <w:numPr>
          <w:ilvl w:val="0"/>
          <w:numId w:val="13"/>
        </w:numPr>
        <w:spacing w:after="0"/>
        <w:rPr>
          <w:rFonts w:cs="Arial"/>
          <w:b/>
          <w:color w:val="auto"/>
        </w:rPr>
      </w:pPr>
      <w:r w:rsidRPr="00F80467">
        <w:rPr>
          <w:rFonts w:cs="Arial"/>
          <w:b/>
          <w:color w:val="auto"/>
        </w:rPr>
        <w:lastRenderedPageBreak/>
        <w:t>Initial Project C</w:t>
      </w:r>
      <w:r w:rsidR="008A4E39" w:rsidRPr="00F80467">
        <w:rPr>
          <w:rFonts w:cs="Arial"/>
          <w:b/>
          <w:color w:val="auto"/>
        </w:rPr>
        <w:t>ost -</w:t>
      </w:r>
      <w:r w:rsidRPr="00F80467">
        <w:rPr>
          <w:rFonts w:cs="Arial"/>
          <w:b/>
          <w:color w:val="auto"/>
        </w:rPr>
        <w:t xml:space="preserve"> April 2019 </w:t>
      </w:r>
      <w:r w:rsidR="008A4E39" w:rsidRPr="00F80467">
        <w:rPr>
          <w:rFonts w:cs="Arial"/>
          <w:b/>
          <w:color w:val="auto"/>
        </w:rPr>
        <w:t>-</w:t>
      </w:r>
      <w:r w:rsidRPr="00F80467">
        <w:rPr>
          <w:rFonts w:cs="Arial"/>
          <w:b/>
          <w:color w:val="auto"/>
        </w:rPr>
        <w:t xml:space="preserve"> c.£550k</w:t>
      </w:r>
    </w:p>
    <w:p w:rsidR="00C86423" w:rsidRPr="00F80467" w:rsidRDefault="00C86423" w:rsidP="00C86423">
      <w:pPr>
        <w:pStyle w:val="ListParagraph"/>
        <w:numPr>
          <w:ilvl w:val="0"/>
          <w:numId w:val="0"/>
        </w:numPr>
        <w:spacing w:after="0"/>
        <w:ind w:left="720"/>
        <w:rPr>
          <w:rFonts w:cs="Arial"/>
          <w:color w:val="auto"/>
        </w:rPr>
      </w:pPr>
      <w:r w:rsidRPr="00F80467">
        <w:rPr>
          <w:rFonts w:cs="Arial"/>
          <w:color w:val="auto"/>
        </w:rPr>
        <w:t xml:space="preserve">This estimate was based on in-house costings and limited property survey work, with no developed proposals as to what the </w:t>
      </w:r>
      <w:r w:rsidR="007402A1" w:rsidRPr="00F80467">
        <w:rPr>
          <w:rFonts w:cs="Arial"/>
          <w:color w:val="auto"/>
        </w:rPr>
        <w:t xml:space="preserve">new </w:t>
      </w:r>
      <w:r w:rsidRPr="00F80467">
        <w:rPr>
          <w:rFonts w:cs="Arial"/>
          <w:color w:val="auto"/>
        </w:rPr>
        <w:t>service would require.</w:t>
      </w:r>
      <w:r w:rsidR="007402A1" w:rsidRPr="00F80467">
        <w:rPr>
          <w:rFonts w:cs="Arial"/>
          <w:color w:val="auto"/>
        </w:rPr>
        <w:t xml:space="preserve">  </w:t>
      </w:r>
    </w:p>
    <w:p w:rsidR="00C86423" w:rsidRPr="00F80467" w:rsidRDefault="00C86423" w:rsidP="00C86423">
      <w:pPr>
        <w:pStyle w:val="ListParagraph"/>
        <w:numPr>
          <w:ilvl w:val="0"/>
          <w:numId w:val="0"/>
        </w:numPr>
        <w:spacing w:after="0"/>
        <w:ind w:left="720"/>
        <w:rPr>
          <w:rFonts w:cs="Arial"/>
          <w:color w:val="auto"/>
        </w:rPr>
      </w:pPr>
    </w:p>
    <w:p w:rsidR="00C86423" w:rsidRPr="00F80467" w:rsidRDefault="008A4E39" w:rsidP="00C86423">
      <w:pPr>
        <w:pStyle w:val="ListParagraph"/>
        <w:numPr>
          <w:ilvl w:val="0"/>
          <w:numId w:val="13"/>
        </w:numPr>
        <w:spacing w:after="0"/>
        <w:rPr>
          <w:rFonts w:cs="Arial"/>
          <w:b/>
          <w:color w:val="auto"/>
        </w:rPr>
      </w:pPr>
      <w:r w:rsidRPr="00F80467">
        <w:rPr>
          <w:rFonts w:cs="Arial"/>
          <w:b/>
          <w:color w:val="auto"/>
        </w:rPr>
        <w:t>First works estimate -</w:t>
      </w:r>
      <w:r w:rsidR="00C86423" w:rsidRPr="00F80467">
        <w:rPr>
          <w:rFonts w:cs="Arial"/>
          <w:b/>
          <w:color w:val="auto"/>
        </w:rPr>
        <w:t xml:space="preserve"> June 2019 </w:t>
      </w:r>
      <w:r w:rsidRPr="00F80467">
        <w:rPr>
          <w:rFonts w:cs="Arial"/>
          <w:b/>
          <w:color w:val="auto"/>
        </w:rPr>
        <w:t xml:space="preserve">- </w:t>
      </w:r>
      <w:r w:rsidR="00C86423" w:rsidRPr="00F80467">
        <w:rPr>
          <w:rFonts w:cs="Arial"/>
          <w:b/>
          <w:color w:val="auto"/>
        </w:rPr>
        <w:t>c.£750k</w:t>
      </w:r>
    </w:p>
    <w:p w:rsidR="00C86423" w:rsidRPr="00F80467" w:rsidRDefault="00C86423" w:rsidP="00C86423">
      <w:pPr>
        <w:spacing w:after="0"/>
        <w:ind w:left="720"/>
        <w:rPr>
          <w:rFonts w:cs="Arial"/>
          <w:color w:val="auto"/>
        </w:rPr>
      </w:pPr>
      <w:r w:rsidRPr="00F80467">
        <w:rPr>
          <w:rFonts w:cs="Arial"/>
          <w:color w:val="auto"/>
        </w:rPr>
        <w:t>This was based on the Quantity Surveyor’s report at initial plan stage. This was a desk-top exercise but did not at th</w:t>
      </w:r>
      <w:r w:rsidR="00C5528C">
        <w:rPr>
          <w:rFonts w:cs="Arial"/>
          <w:color w:val="auto"/>
        </w:rPr>
        <w:t>at</w:t>
      </w:r>
      <w:r w:rsidRPr="00F80467">
        <w:rPr>
          <w:rFonts w:cs="Arial"/>
          <w:color w:val="auto"/>
        </w:rPr>
        <w:t xml:space="preserve"> stage include full inspection information, and assumptions were made on certain physical aspects of the building.</w:t>
      </w:r>
    </w:p>
    <w:p w:rsidR="00C86423" w:rsidRPr="00F80467" w:rsidRDefault="00C86423" w:rsidP="00C86423">
      <w:pPr>
        <w:spacing w:after="0"/>
        <w:ind w:left="720"/>
        <w:rPr>
          <w:rFonts w:cs="Arial"/>
          <w:color w:val="auto"/>
        </w:rPr>
      </w:pPr>
    </w:p>
    <w:p w:rsidR="00C86423" w:rsidRPr="00F80467" w:rsidRDefault="008A4E39" w:rsidP="00C86423">
      <w:pPr>
        <w:pStyle w:val="ListParagraph"/>
        <w:numPr>
          <w:ilvl w:val="0"/>
          <w:numId w:val="13"/>
        </w:numPr>
        <w:spacing w:after="0"/>
        <w:rPr>
          <w:rFonts w:cs="Arial"/>
          <w:b/>
          <w:color w:val="auto"/>
        </w:rPr>
      </w:pPr>
      <w:r w:rsidRPr="00F80467">
        <w:rPr>
          <w:rFonts w:cs="Arial"/>
          <w:b/>
          <w:color w:val="auto"/>
        </w:rPr>
        <w:t>Overall Project Cost -</w:t>
      </w:r>
      <w:r w:rsidR="00C86423" w:rsidRPr="00F80467">
        <w:rPr>
          <w:rFonts w:cs="Arial"/>
          <w:b/>
          <w:color w:val="auto"/>
        </w:rPr>
        <w:t xml:space="preserve"> August 2019 </w:t>
      </w:r>
      <w:r w:rsidRPr="00F80467">
        <w:rPr>
          <w:rFonts w:cs="Arial"/>
          <w:b/>
          <w:color w:val="auto"/>
        </w:rPr>
        <w:t>-</w:t>
      </w:r>
      <w:r w:rsidR="00C86423" w:rsidRPr="00F80467">
        <w:rPr>
          <w:rFonts w:cs="Arial"/>
          <w:b/>
          <w:color w:val="auto"/>
        </w:rPr>
        <w:t xml:space="preserve"> c.£1.</w:t>
      </w:r>
      <w:r w:rsidR="003E0734" w:rsidRPr="00F80467">
        <w:rPr>
          <w:rFonts w:cs="Arial"/>
          <w:b/>
          <w:color w:val="auto"/>
        </w:rPr>
        <w:t>9</w:t>
      </w:r>
      <w:r w:rsidR="00C86423" w:rsidRPr="00F80467">
        <w:rPr>
          <w:rFonts w:cs="Arial"/>
          <w:b/>
          <w:color w:val="auto"/>
        </w:rPr>
        <w:t>m</w:t>
      </w:r>
    </w:p>
    <w:p w:rsidR="00C86423" w:rsidRPr="00F80467" w:rsidRDefault="00C86423" w:rsidP="00C86423">
      <w:pPr>
        <w:spacing w:after="0"/>
        <w:ind w:left="720"/>
        <w:rPr>
          <w:rFonts w:cs="Arial"/>
          <w:color w:val="auto"/>
        </w:rPr>
      </w:pPr>
      <w:r w:rsidRPr="00F80467">
        <w:rPr>
          <w:rFonts w:cs="Arial"/>
          <w:color w:val="auto"/>
        </w:rPr>
        <w:t>This final costing now fully takes into account the detailed design</w:t>
      </w:r>
      <w:r w:rsidR="008A4E39" w:rsidRPr="00F80467">
        <w:rPr>
          <w:rFonts w:cs="Arial"/>
          <w:color w:val="auto"/>
        </w:rPr>
        <w:t>,</w:t>
      </w:r>
      <w:r w:rsidRPr="00F80467">
        <w:rPr>
          <w:rFonts w:cs="Arial"/>
          <w:color w:val="auto"/>
        </w:rPr>
        <w:t xml:space="preserve"> including all the requirements to meet current building regulations due to the change of use. </w:t>
      </w:r>
      <w:r w:rsidR="008A4E39" w:rsidRPr="00F80467">
        <w:rPr>
          <w:rFonts w:cs="Arial"/>
          <w:color w:val="auto"/>
        </w:rPr>
        <w:t>It includes fees; strip-out works; construction; fit-out</w:t>
      </w:r>
      <w:r w:rsidR="003E0734" w:rsidRPr="00F80467">
        <w:rPr>
          <w:rFonts w:cs="Arial"/>
          <w:color w:val="auto"/>
        </w:rPr>
        <w:t>, a construction contingency for any additional costs associated with phasing</w:t>
      </w:r>
      <w:r w:rsidR="008A4E39" w:rsidRPr="00F80467">
        <w:rPr>
          <w:rFonts w:cs="Arial"/>
          <w:color w:val="auto"/>
        </w:rPr>
        <w:t xml:space="preserve"> and</w:t>
      </w:r>
      <w:r w:rsidR="003E0734" w:rsidRPr="00F80467">
        <w:rPr>
          <w:rFonts w:cs="Arial"/>
          <w:color w:val="auto"/>
        </w:rPr>
        <w:t xml:space="preserve"> a 10%</w:t>
      </w:r>
      <w:r w:rsidR="008A4E39" w:rsidRPr="00F80467">
        <w:rPr>
          <w:rFonts w:cs="Arial"/>
          <w:color w:val="auto"/>
        </w:rPr>
        <w:t xml:space="preserve"> project contingency.  </w:t>
      </w:r>
      <w:r w:rsidRPr="00F80467">
        <w:rPr>
          <w:rFonts w:cs="Arial"/>
          <w:color w:val="auto"/>
        </w:rPr>
        <w:t>Th</w:t>
      </w:r>
      <w:r w:rsidR="008A4E39" w:rsidRPr="00F80467">
        <w:rPr>
          <w:rFonts w:cs="Arial"/>
          <w:color w:val="auto"/>
        </w:rPr>
        <w:t xml:space="preserve">e construction element </w:t>
      </w:r>
      <w:r w:rsidRPr="00F80467">
        <w:rPr>
          <w:rFonts w:cs="Arial"/>
          <w:color w:val="auto"/>
        </w:rPr>
        <w:t>includes items of considerable cost:</w:t>
      </w:r>
    </w:p>
    <w:p w:rsidR="007D5A71" w:rsidRPr="00F80467" w:rsidRDefault="007D5A71" w:rsidP="00C86423">
      <w:pPr>
        <w:spacing w:after="0"/>
        <w:ind w:left="720"/>
        <w:rPr>
          <w:rFonts w:cs="Arial"/>
          <w:color w:val="auto"/>
        </w:rPr>
      </w:pPr>
    </w:p>
    <w:p w:rsidR="00C86423" w:rsidRPr="00F80467" w:rsidRDefault="00C86423" w:rsidP="00C86423">
      <w:pPr>
        <w:pStyle w:val="ListParagraph"/>
        <w:numPr>
          <w:ilvl w:val="0"/>
          <w:numId w:val="14"/>
        </w:numPr>
        <w:spacing w:after="0"/>
        <w:rPr>
          <w:rFonts w:cs="Arial"/>
          <w:color w:val="auto"/>
        </w:rPr>
      </w:pPr>
      <w:r w:rsidRPr="00F80467">
        <w:rPr>
          <w:rFonts w:cs="Arial"/>
          <w:color w:val="auto"/>
        </w:rPr>
        <w:t>Thermal efficiency – including secondary glazing, photo voltaic panels; etc</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Disabled access – to include ramps; toilets; showers; door changes/ automated door opening</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Fire safety – additional fire detection and compartmentation measures considerabl</w:t>
      </w:r>
      <w:r w:rsidR="008A4E39" w:rsidRPr="00F80467">
        <w:rPr>
          <w:rFonts w:cs="Arial"/>
          <w:color w:val="auto"/>
        </w:rPr>
        <w:t>y over the current installation</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Additional toilets and showers due</w:t>
      </w:r>
      <w:r w:rsidR="008A4E39" w:rsidRPr="00F80467">
        <w:rPr>
          <w:rFonts w:cs="Arial"/>
          <w:color w:val="auto"/>
        </w:rPr>
        <w:t xml:space="preserve"> to the change of use and numbers of clients that may be accommodated overnight</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Removal of the suspended ceiling for design; operational; housing management; health and safety; and fire safety reasons</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 xml:space="preserve">Full replacement </w:t>
      </w:r>
      <w:r w:rsidR="008A4E39" w:rsidRPr="00F80467">
        <w:rPr>
          <w:rFonts w:cs="Arial"/>
          <w:color w:val="auto"/>
        </w:rPr>
        <w:t xml:space="preserve">of the </w:t>
      </w:r>
      <w:r w:rsidRPr="00F80467">
        <w:rPr>
          <w:rFonts w:cs="Arial"/>
          <w:color w:val="auto"/>
        </w:rPr>
        <w:t>heating system</w:t>
      </w:r>
      <w:r w:rsidR="008A4E39" w:rsidRPr="00F80467">
        <w:rPr>
          <w:rFonts w:cs="Arial"/>
          <w:color w:val="auto"/>
        </w:rPr>
        <w:t xml:space="preserve"> (including hot water supply)</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 xml:space="preserve">Replacement </w:t>
      </w:r>
      <w:r w:rsidR="008A4E39" w:rsidRPr="00F80467">
        <w:rPr>
          <w:rFonts w:cs="Arial"/>
          <w:color w:val="auto"/>
        </w:rPr>
        <w:t xml:space="preserve">of </w:t>
      </w:r>
      <w:r w:rsidRPr="00F80467">
        <w:rPr>
          <w:rFonts w:cs="Arial"/>
          <w:color w:val="auto"/>
        </w:rPr>
        <w:t>lighting and power cabling, etc</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 xml:space="preserve">Mechanical ventilation sufficient to meet </w:t>
      </w:r>
      <w:r w:rsidR="008A4E39" w:rsidRPr="00F80467">
        <w:rPr>
          <w:rFonts w:cs="Arial"/>
          <w:color w:val="auto"/>
        </w:rPr>
        <w:t xml:space="preserve">the </w:t>
      </w:r>
      <w:r w:rsidRPr="00F80467">
        <w:rPr>
          <w:rFonts w:cs="Arial"/>
          <w:color w:val="auto"/>
        </w:rPr>
        <w:t>change of use</w:t>
      </w:r>
      <w:r w:rsidR="008A4E39" w:rsidRPr="00F80467">
        <w:rPr>
          <w:rFonts w:cs="Arial"/>
          <w:color w:val="auto"/>
        </w:rPr>
        <w:t>, the old system having been identified as not providing sufficient air-change capacity</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New stud walls</w:t>
      </w:r>
      <w:r w:rsidR="006E3364" w:rsidRPr="00F80467">
        <w:rPr>
          <w:rFonts w:cs="Arial"/>
          <w:color w:val="auto"/>
        </w:rPr>
        <w:t xml:space="preserve">; glazing; and decoration to provide a ‘psychologically-informed  environment’ that meets with design principles of this being a welcoming; functional; familiar; calm; visibly safe; versatile; and busy space </w:t>
      </w:r>
    </w:p>
    <w:p w:rsidR="00C86423" w:rsidRPr="00F80467" w:rsidRDefault="00C86423" w:rsidP="00C86423">
      <w:pPr>
        <w:spacing w:after="0"/>
        <w:rPr>
          <w:rFonts w:cs="Arial"/>
          <w:b/>
          <w:color w:val="auto"/>
        </w:rPr>
      </w:pPr>
    </w:p>
    <w:p w:rsidR="006E3364" w:rsidRPr="00F80467" w:rsidRDefault="006E3364" w:rsidP="006E3364">
      <w:pPr>
        <w:pStyle w:val="ListParagraph"/>
        <w:numPr>
          <w:ilvl w:val="0"/>
          <w:numId w:val="11"/>
        </w:numPr>
        <w:spacing w:after="0"/>
        <w:rPr>
          <w:rFonts w:cs="Arial"/>
          <w:color w:val="auto"/>
        </w:rPr>
      </w:pPr>
      <w:r w:rsidRPr="00F80467">
        <w:rPr>
          <w:rFonts w:cs="Arial"/>
          <w:color w:val="auto"/>
        </w:rPr>
        <w:t xml:space="preserve">In order to progress with the project and meet ambitious deadlines for the opening </w:t>
      </w:r>
      <w:r w:rsidR="003E0734" w:rsidRPr="00F80467">
        <w:rPr>
          <w:rFonts w:cs="Arial"/>
          <w:color w:val="auto"/>
        </w:rPr>
        <w:t xml:space="preserve">of </w:t>
      </w:r>
      <w:r w:rsidRPr="00F80467">
        <w:rPr>
          <w:rFonts w:cs="Arial"/>
          <w:color w:val="auto"/>
        </w:rPr>
        <w:t xml:space="preserve">additional services this winter, </w:t>
      </w:r>
      <w:r w:rsidR="003E0734" w:rsidRPr="00F80467">
        <w:rPr>
          <w:rFonts w:cs="Arial"/>
          <w:color w:val="auto"/>
        </w:rPr>
        <w:t>some works</w:t>
      </w:r>
      <w:r w:rsidRPr="00F80467">
        <w:rPr>
          <w:rFonts w:cs="Arial"/>
          <w:color w:val="auto"/>
        </w:rPr>
        <w:t xml:space="preserve"> </w:t>
      </w:r>
      <w:r w:rsidR="003E0734" w:rsidRPr="00F80467">
        <w:rPr>
          <w:rFonts w:cs="Arial"/>
          <w:color w:val="auto"/>
        </w:rPr>
        <w:t>(</w:t>
      </w:r>
      <w:r w:rsidR="00602A98" w:rsidRPr="00F80467">
        <w:rPr>
          <w:rFonts w:cs="Arial"/>
          <w:color w:val="auto"/>
        </w:rPr>
        <w:t>within the</w:t>
      </w:r>
      <w:r w:rsidR="003E0734" w:rsidRPr="00F80467">
        <w:rPr>
          <w:rFonts w:cs="Arial"/>
          <w:color w:val="auto"/>
        </w:rPr>
        <w:t xml:space="preserve"> existing</w:t>
      </w:r>
      <w:r w:rsidR="00602A98" w:rsidRPr="00F80467">
        <w:rPr>
          <w:rFonts w:cs="Arial"/>
          <w:color w:val="auto"/>
        </w:rPr>
        <w:t xml:space="preserve"> budget envelope</w:t>
      </w:r>
      <w:r w:rsidR="003E0734" w:rsidRPr="00F80467">
        <w:rPr>
          <w:rFonts w:cs="Arial"/>
          <w:color w:val="auto"/>
        </w:rPr>
        <w:t>)</w:t>
      </w:r>
      <w:r w:rsidR="00602A98" w:rsidRPr="00F80467">
        <w:rPr>
          <w:rFonts w:cs="Arial"/>
          <w:color w:val="auto"/>
        </w:rPr>
        <w:t xml:space="preserve"> </w:t>
      </w:r>
      <w:r w:rsidRPr="00F80467">
        <w:rPr>
          <w:rFonts w:cs="Arial"/>
          <w:color w:val="auto"/>
        </w:rPr>
        <w:t>have already been progressed</w:t>
      </w:r>
      <w:r w:rsidR="00C87B9C">
        <w:rPr>
          <w:rFonts w:cs="Arial"/>
          <w:color w:val="auto"/>
        </w:rPr>
        <w:t xml:space="preserve">, </w:t>
      </w:r>
      <w:r w:rsidR="00C5528C" w:rsidRPr="00F80467">
        <w:rPr>
          <w:rFonts w:cs="Arial"/>
          <w:color w:val="auto"/>
        </w:rPr>
        <w:t>O</w:t>
      </w:r>
      <w:r w:rsidR="00C5528C">
        <w:rPr>
          <w:rFonts w:cs="Arial"/>
          <w:color w:val="auto"/>
        </w:rPr>
        <w:t xml:space="preserve">xford </w:t>
      </w:r>
      <w:r w:rsidR="00C5528C" w:rsidRPr="00F80467">
        <w:rPr>
          <w:rFonts w:cs="Arial"/>
          <w:color w:val="auto"/>
        </w:rPr>
        <w:t>D</w:t>
      </w:r>
      <w:r w:rsidR="00C5528C">
        <w:rPr>
          <w:rFonts w:cs="Arial"/>
          <w:color w:val="auto"/>
        </w:rPr>
        <w:t xml:space="preserve">irect </w:t>
      </w:r>
      <w:r w:rsidR="00C5528C" w:rsidRPr="00F80467">
        <w:rPr>
          <w:rFonts w:cs="Arial"/>
          <w:color w:val="auto"/>
        </w:rPr>
        <w:t>S</w:t>
      </w:r>
      <w:r w:rsidR="00C5528C">
        <w:rPr>
          <w:rFonts w:cs="Arial"/>
          <w:color w:val="auto"/>
        </w:rPr>
        <w:t>ervices Ltd (ODS)</w:t>
      </w:r>
      <w:r w:rsidR="00C87B9C">
        <w:rPr>
          <w:rFonts w:cs="Arial"/>
          <w:color w:val="auto"/>
        </w:rPr>
        <w:t xml:space="preserve"> having successfully tendered for this work</w:t>
      </w:r>
      <w:r w:rsidRPr="00F80467">
        <w:rPr>
          <w:rFonts w:cs="Arial"/>
          <w:color w:val="auto"/>
        </w:rPr>
        <w:t xml:space="preserve">.  </w:t>
      </w:r>
    </w:p>
    <w:p w:rsidR="006E3364" w:rsidRPr="00F80467" w:rsidRDefault="006E3364" w:rsidP="006E3364">
      <w:pPr>
        <w:pStyle w:val="ListParagraph"/>
        <w:numPr>
          <w:ilvl w:val="0"/>
          <w:numId w:val="0"/>
        </w:numPr>
        <w:spacing w:after="0"/>
        <w:ind w:left="360"/>
        <w:rPr>
          <w:rFonts w:cs="Arial"/>
          <w:color w:val="auto"/>
        </w:rPr>
      </w:pPr>
    </w:p>
    <w:p w:rsidR="00C5528C" w:rsidRPr="00F80467" w:rsidRDefault="00C5528C" w:rsidP="00C5528C">
      <w:pPr>
        <w:pStyle w:val="ListParagraph"/>
        <w:numPr>
          <w:ilvl w:val="0"/>
          <w:numId w:val="11"/>
        </w:numPr>
        <w:spacing w:after="0"/>
        <w:rPr>
          <w:rFonts w:cs="Arial"/>
          <w:color w:val="auto"/>
        </w:rPr>
      </w:pPr>
      <w:r w:rsidRPr="00F80467">
        <w:rPr>
          <w:rFonts w:cs="Arial"/>
          <w:color w:val="auto"/>
        </w:rPr>
        <w:t>Due to the increased costs, beyond the current capital envelope, the construction of the project has been split into phased elements:</w:t>
      </w:r>
    </w:p>
    <w:p w:rsidR="00C5528C" w:rsidRPr="00F80467" w:rsidRDefault="00C5528C" w:rsidP="00C5528C">
      <w:pPr>
        <w:pStyle w:val="ListParagraph"/>
        <w:numPr>
          <w:ilvl w:val="0"/>
          <w:numId w:val="0"/>
        </w:numPr>
        <w:spacing w:after="0"/>
        <w:ind w:left="360"/>
        <w:rPr>
          <w:rFonts w:cs="Arial"/>
          <w:color w:val="auto"/>
        </w:rPr>
      </w:pPr>
    </w:p>
    <w:p w:rsidR="00C5528C" w:rsidRPr="00F80467" w:rsidRDefault="00C5528C" w:rsidP="00C5528C">
      <w:pPr>
        <w:pStyle w:val="ListParagraph"/>
        <w:numPr>
          <w:ilvl w:val="0"/>
          <w:numId w:val="17"/>
        </w:numPr>
        <w:rPr>
          <w:rFonts w:cs="Arial"/>
          <w:color w:val="auto"/>
        </w:rPr>
      </w:pPr>
      <w:r w:rsidRPr="00F80467">
        <w:rPr>
          <w:rFonts w:cs="Arial"/>
          <w:color w:val="auto"/>
        </w:rPr>
        <w:t xml:space="preserve">Initial strip out works (early July to end </w:t>
      </w:r>
      <w:r>
        <w:rPr>
          <w:rFonts w:cs="Arial"/>
          <w:color w:val="auto"/>
        </w:rPr>
        <w:t xml:space="preserve">of </w:t>
      </w:r>
      <w:r w:rsidRPr="00F80467">
        <w:rPr>
          <w:rFonts w:cs="Arial"/>
          <w:color w:val="auto"/>
        </w:rPr>
        <w:t>Aug</w:t>
      </w:r>
      <w:r>
        <w:rPr>
          <w:rFonts w:cs="Arial"/>
          <w:color w:val="auto"/>
        </w:rPr>
        <w:t>ust</w:t>
      </w:r>
      <w:r w:rsidRPr="00F80467">
        <w:rPr>
          <w:rFonts w:cs="Arial"/>
          <w:color w:val="auto"/>
        </w:rPr>
        <w:t xml:space="preserve"> </w:t>
      </w:r>
      <w:r>
        <w:rPr>
          <w:rFonts w:cs="Arial"/>
          <w:color w:val="auto"/>
        </w:rPr>
        <w:t>20</w:t>
      </w:r>
      <w:r w:rsidRPr="00F80467">
        <w:rPr>
          <w:rFonts w:cs="Arial"/>
          <w:color w:val="auto"/>
        </w:rPr>
        <w:t>19) –  already completed – c.£80k</w:t>
      </w:r>
    </w:p>
    <w:p w:rsidR="00C5528C" w:rsidRPr="00F80467" w:rsidRDefault="00C5528C" w:rsidP="00C5528C">
      <w:pPr>
        <w:pStyle w:val="ListParagraph"/>
        <w:numPr>
          <w:ilvl w:val="0"/>
          <w:numId w:val="17"/>
        </w:numPr>
        <w:rPr>
          <w:rFonts w:cs="Arial"/>
          <w:color w:val="auto"/>
        </w:rPr>
      </w:pPr>
      <w:r w:rsidRPr="00F80467">
        <w:rPr>
          <w:rFonts w:cs="Arial"/>
          <w:color w:val="auto"/>
        </w:rPr>
        <w:t>Phase 1 construction (early Sept</w:t>
      </w:r>
      <w:r>
        <w:rPr>
          <w:rFonts w:cs="Arial"/>
          <w:color w:val="auto"/>
        </w:rPr>
        <w:t>ember</w:t>
      </w:r>
      <w:r w:rsidRPr="00F80467">
        <w:rPr>
          <w:rFonts w:cs="Arial"/>
          <w:color w:val="auto"/>
        </w:rPr>
        <w:t xml:space="preserve"> to end Nov</w:t>
      </w:r>
      <w:r>
        <w:rPr>
          <w:rFonts w:cs="Arial"/>
          <w:color w:val="auto"/>
        </w:rPr>
        <w:t>ember</w:t>
      </w:r>
      <w:r w:rsidRPr="00F80467">
        <w:rPr>
          <w:rFonts w:cs="Arial"/>
          <w:color w:val="auto"/>
        </w:rPr>
        <w:t xml:space="preserve"> </w:t>
      </w:r>
      <w:r>
        <w:rPr>
          <w:rFonts w:cs="Arial"/>
          <w:color w:val="auto"/>
        </w:rPr>
        <w:t>20</w:t>
      </w:r>
      <w:r w:rsidRPr="00F80467">
        <w:rPr>
          <w:rFonts w:cs="Arial"/>
          <w:color w:val="auto"/>
        </w:rPr>
        <w:t>19) – c</w:t>
      </w:r>
      <w:proofErr w:type="gramStart"/>
      <w:r w:rsidRPr="00F80467">
        <w:rPr>
          <w:rFonts w:cs="Arial"/>
          <w:color w:val="auto"/>
        </w:rPr>
        <w:t>.£</w:t>
      </w:r>
      <w:proofErr w:type="gramEnd"/>
      <w:r w:rsidRPr="00F80467">
        <w:rPr>
          <w:rFonts w:cs="Arial"/>
          <w:color w:val="auto"/>
        </w:rPr>
        <w:t xml:space="preserve">720k – To complete one wing of the building and all plant/ core services. Work </w:t>
      </w:r>
      <w:r>
        <w:rPr>
          <w:rFonts w:cs="Arial"/>
          <w:color w:val="auto"/>
        </w:rPr>
        <w:t xml:space="preserve">is </w:t>
      </w:r>
      <w:r w:rsidRPr="00F80467">
        <w:rPr>
          <w:rFonts w:cs="Arial"/>
          <w:color w:val="auto"/>
        </w:rPr>
        <w:t>underway with a letter of intent issued</w:t>
      </w:r>
      <w:r>
        <w:rPr>
          <w:rFonts w:cs="Arial"/>
          <w:color w:val="auto"/>
        </w:rPr>
        <w:t xml:space="preserve"> by the City Council</w:t>
      </w:r>
      <w:r w:rsidRPr="00F80467">
        <w:rPr>
          <w:rFonts w:cs="Arial"/>
          <w:color w:val="auto"/>
        </w:rPr>
        <w:t xml:space="preserve"> to ODS for up to £600k of works, with this as the budget limit to ensure works are within existing budget approval.</w:t>
      </w:r>
    </w:p>
    <w:p w:rsidR="00C5528C" w:rsidRPr="00F80467" w:rsidRDefault="00C5528C" w:rsidP="00C5528C">
      <w:pPr>
        <w:pStyle w:val="ListParagraph"/>
        <w:numPr>
          <w:ilvl w:val="0"/>
          <w:numId w:val="17"/>
        </w:numPr>
        <w:rPr>
          <w:rFonts w:cs="Arial"/>
          <w:color w:val="auto"/>
        </w:rPr>
      </w:pPr>
      <w:r w:rsidRPr="00F80467">
        <w:rPr>
          <w:rFonts w:cs="Arial"/>
          <w:color w:val="auto"/>
        </w:rPr>
        <w:lastRenderedPageBreak/>
        <w:t>Phase 2 construction (early Dec</w:t>
      </w:r>
      <w:r>
        <w:rPr>
          <w:rFonts w:cs="Arial"/>
          <w:color w:val="auto"/>
        </w:rPr>
        <w:t>ember</w:t>
      </w:r>
      <w:r w:rsidRPr="00F80467">
        <w:rPr>
          <w:rFonts w:cs="Arial"/>
          <w:color w:val="auto"/>
        </w:rPr>
        <w:t xml:space="preserve"> to end </w:t>
      </w:r>
      <w:r>
        <w:rPr>
          <w:rFonts w:cs="Arial"/>
          <w:color w:val="auto"/>
        </w:rPr>
        <w:t xml:space="preserve">of </w:t>
      </w:r>
      <w:r w:rsidRPr="00F80467">
        <w:rPr>
          <w:rFonts w:cs="Arial"/>
          <w:color w:val="auto"/>
        </w:rPr>
        <w:t>Feb</w:t>
      </w:r>
      <w:r>
        <w:rPr>
          <w:rFonts w:cs="Arial"/>
          <w:color w:val="auto"/>
        </w:rPr>
        <w:t>ruary 20</w:t>
      </w:r>
      <w:r w:rsidRPr="00F80467">
        <w:rPr>
          <w:rFonts w:cs="Arial"/>
          <w:color w:val="auto"/>
        </w:rPr>
        <w:t>20) – c. £713k (plus some additional costs, estimated as up to £7</w:t>
      </w:r>
      <w:r>
        <w:rPr>
          <w:rFonts w:cs="Arial"/>
          <w:color w:val="auto"/>
        </w:rPr>
        <w:t>0</w:t>
      </w:r>
      <w:r w:rsidRPr="00F80467">
        <w:rPr>
          <w:rFonts w:cs="Arial"/>
          <w:color w:val="auto"/>
        </w:rPr>
        <w:t>k due to the splitting of the contract into two phases) – To complete the remaining two wings of the building</w:t>
      </w:r>
    </w:p>
    <w:p w:rsidR="00C5528C" w:rsidRPr="00F80467" w:rsidRDefault="00C5528C" w:rsidP="00C5528C">
      <w:pPr>
        <w:spacing w:after="0"/>
        <w:rPr>
          <w:rFonts w:cs="Arial"/>
          <w:color w:val="auto"/>
        </w:rPr>
      </w:pPr>
    </w:p>
    <w:p w:rsidR="00C5528C" w:rsidRPr="001C6C56" w:rsidRDefault="00C5528C" w:rsidP="00C5528C">
      <w:pPr>
        <w:pStyle w:val="ListParagraph"/>
        <w:numPr>
          <w:ilvl w:val="0"/>
          <w:numId w:val="11"/>
        </w:numPr>
        <w:spacing w:after="0"/>
        <w:rPr>
          <w:rFonts w:cs="Arial"/>
          <w:color w:val="auto"/>
        </w:rPr>
      </w:pPr>
      <w:r w:rsidRPr="001C6C56">
        <w:rPr>
          <w:rFonts w:cs="Arial"/>
          <w:color w:val="auto"/>
        </w:rPr>
        <w:t xml:space="preserve">Further cost information is provided later </w:t>
      </w:r>
      <w:r>
        <w:rPr>
          <w:rFonts w:cs="Arial"/>
          <w:color w:val="auto"/>
        </w:rPr>
        <w:t xml:space="preserve">in this report </w:t>
      </w:r>
      <w:r w:rsidRPr="001C6C56">
        <w:rPr>
          <w:rFonts w:cs="Arial"/>
          <w:color w:val="auto"/>
        </w:rPr>
        <w:t>and in Appendix 3.  The project requires add</w:t>
      </w:r>
      <w:r>
        <w:rPr>
          <w:rFonts w:cs="Arial"/>
          <w:color w:val="auto"/>
        </w:rPr>
        <w:t>itional spending approval of capital funding of c. £12</w:t>
      </w:r>
      <w:r w:rsidRPr="001C6C56">
        <w:rPr>
          <w:rFonts w:cs="Arial"/>
          <w:color w:val="auto"/>
        </w:rPr>
        <w:t>0k to complete phase 1</w:t>
      </w:r>
      <w:r>
        <w:rPr>
          <w:rFonts w:cs="Arial"/>
          <w:color w:val="auto"/>
        </w:rPr>
        <w:t xml:space="preserve">, recognising that an additional sum of </w:t>
      </w:r>
      <w:r w:rsidRPr="001C6C56">
        <w:rPr>
          <w:rFonts w:cs="Arial"/>
          <w:color w:val="auto"/>
        </w:rPr>
        <w:t xml:space="preserve">£250k </w:t>
      </w:r>
      <w:r>
        <w:rPr>
          <w:rFonts w:cs="Arial"/>
          <w:color w:val="auto"/>
        </w:rPr>
        <w:t xml:space="preserve">has already been </w:t>
      </w:r>
      <w:proofErr w:type="spellStart"/>
      <w:r>
        <w:rPr>
          <w:rFonts w:cs="Arial"/>
          <w:color w:val="auto"/>
        </w:rPr>
        <w:t>vired</w:t>
      </w:r>
      <w:proofErr w:type="spellEnd"/>
      <w:r>
        <w:rPr>
          <w:rFonts w:cs="Arial"/>
          <w:color w:val="auto"/>
        </w:rPr>
        <w:t xml:space="preserve"> within capital budgets under officer delegations</w:t>
      </w:r>
      <w:r w:rsidRPr="001C6C56">
        <w:rPr>
          <w:rFonts w:cs="Arial"/>
          <w:color w:val="auto"/>
        </w:rPr>
        <w:t>.</w:t>
      </w:r>
    </w:p>
    <w:p w:rsidR="004B5E3D" w:rsidRPr="00F80467" w:rsidRDefault="004B5E3D" w:rsidP="004B5E3D">
      <w:pPr>
        <w:pStyle w:val="ListParagraph"/>
        <w:numPr>
          <w:ilvl w:val="0"/>
          <w:numId w:val="0"/>
        </w:numPr>
        <w:spacing w:after="0"/>
        <w:ind w:left="360"/>
        <w:rPr>
          <w:rFonts w:cs="Arial"/>
          <w:color w:val="auto"/>
        </w:rPr>
      </w:pPr>
    </w:p>
    <w:p w:rsidR="004B5E3D" w:rsidRPr="00F80467" w:rsidRDefault="004B5E3D" w:rsidP="00C86423">
      <w:pPr>
        <w:pStyle w:val="ListParagraph"/>
        <w:numPr>
          <w:ilvl w:val="0"/>
          <w:numId w:val="11"/>
        </w:numPr>
        <w:spacing w:after="0"/>
        <w:rPr>
          <w:rFonts w:cs="Arial"/>
          <w:color w:val="auto"/>
        </w:rPr>
      </w:pPr>
      <w:r w:rsidRPr="00F80467">
        <w:rPr>
          <w:rFonts w:cs="Arial"/>
          <w:color w:val="auto"/>
        </w:rPr>
        <w:t>The t</w:t>
      </w:r>
      <w:r w:rsidR="00C86423" w:rsidRPr="00F80467">
        <w:rPr>
          <w:rFonts w:cs="Arial"/>
          <w:color w:val="auto"/>
        </w:rPr>
        <w:t xml:space="preserve">imescales for completion of the building </w:t>
      </w:r>
      <w:r w:rsidRPr="00F80467">
        <w:rPr>
          <w:rFonts w:cs="Arial"/>
          <w:color w:val="auto"/>
        </w:rPr>
        <w:t xml:space="preserve">are now based on phase one completing </w:t>
      </w:r>
      <w:r w:rsidR="00372376" w:rsidRPr="00F80467">
        <w:rPr>
          <w:rFonts w:cs="Arial"/>
          <w:color w:val="auto"/>
        </w:rPr>
        <w:t>(</w:t>
      </w:r>
      <w:r w:rsidRPr="00F80467">
        <w:rPr>
          <w:rFonts w:cs="Arial"/>
          <w:color w:val="auto"/>
        </w:rPr>
        <w:t>the</w:t>
      </w:r>
      <w:r w:rsidR="00C86423" w:rsidRPr="00F80467">
        <w:rPr>
          <w:rFonts w:cs="Arial"/>
          <w:color w:val="auto"/>
        </w:rPr>
        <w:t xml:space="preserve"> first wing of the building</w:t>
      </w:r>
      <w:r w:rsidR="00372376" w:rsidRPr="00F80467">
        <w:rPr>
          <w:rFonts w:cs="Arial"/>
          <w:color w:val="auto"/>
        </w:rPr>
        <w:t>)</w:t>
      </w:r>
      <w:r w:rsidR="00C86423" w:rsidRPr="00F80467">
        <w:rPr>
          <w:rFonts w:cs="Arial"/>
          <w:color w:val="auto"/>
        </w:rPr>
        <w:t xml:space="preserve"> </w:t>
      </w:r>
      <w:r w:rsidRPr="00F80467">
        <w:rPr>
          <w:rFonts w:cs="Arial"/>
          <w:color w:val="auto"/>
        </w:rPr>
        <w:t xml:space="preserve">by </w:t>
      </w:r>
      <w:r w:rsidR="00C86423" w:rsidRPr="00F80467">
        <w:rPr>
          <w:rFonts w:cs="Arial"/>
          <w:color w:val="auto"/>
        </w:rPr>
        <w:t xml:space="preserve">December 2019, with </w:t>
      </w:r>
      <w:r w:rsidRPr="00F80467">
        <w:rPr>
          <w:rFonts w:cs="Arial"/>
          <w:color w:val="auto"/>
        </w:rPr>
        <w:t>snagging; fit-out; and staff training then expected to take place through December, for an opening at the start of January.  T</w:t>
      </w:r>
      <w:r w:rsidR="00C86423" w:rsidRPr="00F80467">
        <w:rPr>
          <w:rFonts w:cs="Arial"/>
          <w:color w:val="auto"/>
        </w:rPr>
        <w:t xml:space="preserve">he remaining wings </w:t>
      </w:r>
      <w:r w:rsidRPr="00F80467">
        <w:rPr>
          <w:rFonts w:cs="Arial"/>
          <w:color w:val="auto"/>
        </w:rPr>
        <w:t xml:space="preserve">are </w:t>
      </w:r>
      <w:r w:rsidR="00C86423" w:rsidRPr="00F80467">
        <w:rPr>
          <w:rFonts w:cs="Arial"/>
          <w:color w:val="auto"/>
        </w:rPr>
        <w:t xml:space="preserve">expected to be completed </w:t>
      </w:r>
      <w:r w:rsidR="00372376" w:rsidRPr="00F80467">
        <w:rPr>
          <w:rFonts w:cs="Arial"/>
          <w:color w:val="auto"/>
        </w:rPr>
        <w:t xml:space="preserve">in </w:t>
      </w:r>
      <w:proofErr w:type="gramStart"/>
      <w:r w:rsidR="00C86423" w:rsidRPr="00F80467">
        <w:rPr>
          <w:rFonts w:cs="Arial"/>
          <w:color w:val="auto"/>
        </w:rPr>
        <w:t>Spring</w:t>
      </w:r>
      <w:proofErr w:type="gramEnd"/>
      <w:r w:rsidR="00C86423" w:rsidRPr="00F80467">
        <w:rPr>
          <w:rFonts w:cs="Arial"/>
          <w:color w:val="auto"/>
        </w:rPr>
        <w:t xml:space="preserve"> 2020</w:t>
      </w:r>
      <w:r w:rsidRPr="00F80467">
        <w:rPr>
          <w:rFonts w:cs="Arial"/>
          <w:color w:val="auto"/>
        </w:rPr>
        <w:t>, if funding is provided</w:t>
      </w:r>
      <w:r w:rsidR="00C86423" w:rsidRPr="00F80467">
        <w:rPr>
          <w:rFonts w:cs="Arial"/>
          <w:color w:val="auto"/>
        </w:rPr>
        <w:t xml:space="preserve">. </w:t>
      </w:r>
    </w:p>
    <w:p w:rsidR="007B70DE" w:rsidRPr="00F80467" w:rsidRDefault="007B70DE" w:rsidP="004B5E3D">
      <w:pPr>
        <w:rPr>
          <w:b/>
        </w:rPr>
      </w:pPr>
    </w:p>
    <w:p w:rsidR="004B5E3D" w:rsidRPr="00F80467" w:rsidRDefault="004B5E3D" w:rsidP="004B5E3D">
      <w:pPr>
        <w:rPr>
          <w:b/>
        </w:rPr>
      </w:pPr>
      <w:r w:rsidRPr="00F80467">
        <w:rPr>
          <w:b/>
        </w:rPr>
        <w:t>Service Delivery</w:t>
      </w:r>
    </w:p>
    <w:p w:rsidR="004B5E3D" w:rsidRPr="00F80467" w:rsidRDefault="004B5E3D" w:rsidP="004B5E3D">
      <w:pPr>
        <w:pStyle w:val="ListParagraph"/>
        <w:numPr>
          <w:ilvl w:val="0"/>
          <w:numId w:val="0"/>
        </w:numPr>
        <w:spacing w:after="0"/>
        <w:ind w:left="360"/>
        <w:rPr>
          <w:rFonts w:cs="Arial"/>
          <w:color w:val="auto"/>
        </w:rPr>
      </w:pPr>
    </w:p>
    <w:p w:rsidR="004E2FB5" w:rsidRPr="00F80467" w:rsidRDefault="004B5E3D" w:rsidP="007D5A71">
      <w:pPr>
        <w:pStyle w:val="ListParagraph"/>
        <w:numPr>
          <w:ilvl w:val="0"/>
          <w:numId w:val="11"/>
        </w:numPr>
        <w:spacing w:after="0"/>
        <w:rPr>
          <w:rFonts w:cs="Arial"/>
          <w:color w:val="auto"/>
        </w:rPr>
      </w:pPr>
      <w:r w:rsidRPr="00F80467">
        <w:rPr>
          <w:rFonts w:cs="Arial"/>
          <w:color w:val="auto"/>
        </w:rPr>
        <w:t>Officers now have greater certainly over the expected delivery costs of this service.  These have also risen substantially since estimates in early Spring 2019</w:t>
      </w:r>
      <w:r w:rsidR="00A33624" w:rsidRPr="00F80467">
        <w:rPr>
          <w:rFonts w:cs="Arial"/>
          <w:color w:val="auto"/>
        </w:rPr>
        <w:t xml:space="preserve">, in the main, in order to provide a </w:t>
      </w:r>
      <w:r w:rsidR="007B70DE" w:rsidRPr="00F80467">
        <w:rPr>
          <w:rFonts w:cs="Arial"/>
          <w:color w:val="auto"/>
        </w:rPr>
        <w:t xml:space="preserve">sufficient </w:t>
      </w:r>
      <w:r w:rsidR="00A33624" w:rsidRPr="00F80467">
        <w:rPr>
          <w:rFonts w:cs="Arial"/>
          <w:color w:val="auto"/>
        </w:rPr>
        <w:t xml:space="preserve">staffing cohort that can operate the building safely and achieve the desired outcomes for clients that </w:t>
      </w:r>
      <w:r w:rsidR="00C5528C">
        <w:rPr>
          <w:rFonts w:cs="Arial"/>
          <w:color w:val="auto"/>
        </w:rPr>
        <w:t xml:space="preserve">the Council </w:t>
      </w:r>
      <w:r w:rsidR="007B70DE" w:rsidRPr="00F80467">
        <w:rPr>
          <w:rFonts w:cs="Arial"/>
          <w:color w:val="auto"/>
        </w:rPr>
        <w:t>require</w:t>
      </w:r>
      <w:r w:rsidR="00C5528C">
        <w:rPr>
          <w:rFonts w:cs="Arial"/>
          <w:color w:val="auto"/>
        </w:rPr>
        <w:t>s</w:t>
      </w:r>
      <w:r w:rsidR="007B70DE" w:rsidRPr="00F80467">
        <w:rPr>
          <w:rFonts w:cs="Arial"/>
          <w:color w:val="auto"/>
        </w:rPr>
        <w:t>, not least in terms of rapid move-on, and to operate this in a shift pattern that allows for the 24/7 operation of the building, and full assessment and engagement processes, from breakfast to late night</w:t>
      </w:r>
      <w:r w:rsidR="009F2A2C" w:rsidRPr="00F80467">
        <w:rPr>
          <w:rFonts w:cs="Arial"/>
          <w:color w:val="auto"/>
        </w:rPr>
        <w:t>,</w:t>
      </w:r>
      <w:r w:rsidR="007B70DE" w:rsidRPr="00F80467">
        <w:rPr>
          <w:rFonts w:cs="Arial"/>
          <w:color w:val="auto"/>
        </w:rPr>
        <w:t xml:space="preserve"> on every day of the week.</w:t>
      </w:r>
    </w:p>
    <w:p w:rsidR="00831B35" w:rsidRPr="00F80467" w:rsidRDefault="00831B35" w:rsidP="00831B35">
      <w:pPr>
        <w:pStyle w:val="ListParagraph"/>
        <w:numPr>
          <w:ilvl w:val="0"/>
          <w:numId w:val="0"/>
        </w:numPr>
        <w:spacing w:after="0"/>
        <w:ind w:left="360"/>
        <w:rPr>
          <w:rFonts w:cs="Arial"/>
          <w:b/>
          <w:color w:val="1F497D" w:themeColor="text2"/>
        </w:rPr>
      </w:pPr>
    </w:p>
    <w:p w:rsidR="00264652" w:rsidRPr="00F80467" w:rsidRDefault="00264652" w:rsidP="00264652">
      <w:pPr>
        <w:pStyle w:val="ListParagraph"/>
        <w:numPr>
          <w:ilvl w:val="0"/>
          <w:numId w:val="11"/>
        </w:numPr>
        <w:spacing w:after="0"/>
        <w:rPr>
          <w:rFonts w:cs="Arial"/>
          <w:color w:val="auto"/>
        </w:rPr>
      </w:pPr>
      <w:r w:rsidRPr="00F80467">
        <w:t xml:space="preserve"> Similar services delivered by St Mungo’s in London have seen promising outcomes, with 1643 clients entering </w:t>
      </w:r>
      <w:r w:rsidR="00C5528C">
        <w:t>‘No Second Night Out’ (</w:t>
      </w:r>
      <w:r w:rsidRPr="00F80467">
        <w:t>NSNO</w:t>
      </w:r>
      <w:r w:rsidR="00C5528C">
        <w:t>)</w:t>
      </w:r>
      <w:r w:rsidRPr="00F80467">
        <w:t xml:space="preserve"> hubs in London in 2018-19, and only 20% subsequently seen sleeping rough. </w:t>
      </w:r>
    </w:p>
    <w:p w:rsidR="00264652" w:rsidRPr="00F80467" w:rsidRDefault="00264652" w:rsidP="00264652">
      <w:pPr>
        <w:pStyle w:val="ListParagraph"/>
        <w:numPr>
          <w:ilvl w:val="0"/>
          <w:numId w:val="0"/>
        </w:numPr>
        <w:spacing w:after="0"/>
        <w:ind w:left="360"/>
        <w:rPr>
          <w:rFonts w:cs="Arial"/>
          <w:color w:val="auto"/>
        </w:rPr>
      </w:pPr>
    </w:p>
    <w:p w:rsidR="00264652" w:rsidRPr="00F80467" w:rsidRDefault="00264652" w:rsidP="00264652">
      <w:pPr>
        <w:pStyle w:val="ListParagraph"/>
        <w:numPr>
          <w:ilvl w:val="0"/>
          <w:numId w:val="11"/>
        </w:numPr>
        <w:spacing w:after="0"/>
        <w:rPr>
          <w:rFonts w:cs="Arial"/>
          <w:color w:val="auto"/>
        </w:rPr>
      </w:pPr>
      <w:r w:rsidRPr="00F80467">
        <w:t>Currently</w:t>
      </w:r>
      <w:r w:rsidR="00C5528C">
        <w:t>, in Oxford,</w:t>
      </w:r>
      <w:r w:rsidRPr="00F80467">
        <w:t xml:space="preserve"> St Mungo’s are commissioned to deliver an outreach service at a cost of approximately £350k per annum, with eight full-time staff.  Additional pots of funding have been secured throughout the year and</w:t>
      </w:r>
      <w:r w:rsidR="00372376" w:rsidRPr="00F80467">
        <w:t xml:space="preserve"> have already</w:t>
      </w:r>
      <w:r w:rsidRPr="00F80467">
        <w:t xml:space="preserve"> </w:t>
      </w:r>
      <w:r w:rsidR="00C5528C">
        <w:t xml:space="preserve">been </w:t>
      </w:r>
      <w:r w:rsidRPr="00F80467">
        <w:t>used to commission additional services on top of this core contract, as follows:</w:t>
      </w:r>
    </w:p>
    <w:p w:rsidR="00C92622" w:rsidRPr="00F80467" w:rsidRDefault="00C92622" w:rsidP="00C92622">
      <w:pPr>
        <w:pStyle w:val="ListParagraph"/>
        <w:numPr>
          <w:ilvl w:val="0"/>
          <w:numId w:val="0"/>
        </w:numPr>
        <w:ind w:left="426"/>
        <w:rPr>
          <w:rFonts w:cs="Arial"/>
          <w:color w:val="auto"/>
        </w:rPr>
      </w:pPr>
    </w:p>
    <w:p w:rsidR="00264652" w:rsidRPr="00F80467" w:rsidRDefault="00264652" w:rsidP="00264652">
      <w:pPr>
        <w:pStyle w:val="ListParagraph"/>
        <w:numPr>
          <w:ilvl w:val="0"/>
          <w:numId w:val="22"/>
        </w:numPr>
      </w:pPr>
      <w:r w:rsidRPr="00F80467">
        <w:t>RSI fun</w:t>
      </w:r>
      <w:r w:rsidR="00C92622" w:rsidRPr="00F80467">
        <w:t xml:space="preserve">ding - three additional outreach workers </w:t>
      </w:r>
    </w:p>
    <w:p w:rsidR="00264652" w:rsidRPr="00F80467" w:rsidRDefault="00264652" w:rsidP="00264652">
      <w:pPr>
        <w:pStyle w:val="ListParagraph"/>
        <w:numPr>
          <w:ilvl w:val="0"/>
          <w:numId w:val="22"/>
        </w:numPr>
      </w:pPr>
      <w:r w:rsidRPr="00F80467">
        <w:t xml:space="preserve">Controlling Migration Fund </w:t>
      </w:r>
      <w:r w:rsidR="00C92622" w:rsidRPr="00F80467">
        <w:t>-</w:t>
      </w:r>
      <w:r w:rsidRPr="00F80467">
        <w:t xml:space="preserve"> an EEA migrant</w:t>
      </w:r>
      <w:r w:rsidR="00C92622" w:rsidRPr="00F80467">
        <w:t xml:space="preserve"> focused</w:t>
      </w:r>
      <w:r w:rsidRPr="00F80467">
        <w:t xml:space="preserve"> worker</w:t>
      </w:r>
    </w:p>
    <w:p w:rsidR="007D5A71" w:rsidRPr="00F80467" w:rsidRDefault="00264652" w:rsidP="007D5A71">
      <w:pPr>
        <w:pStyle w:val="ListParagraph"/>
        <w:numPr>
          <w:ilvl w:val="0"/>
          <w:numId w:val="22"/>
        </w:numPr>
      </w:pPr>
      <w:r w:rsidRPr="00F80467">
        <w:t xml:space="preserve">Rapid Rehousing Pathway </w:t>
      </w:r>
      <w:r w:rsidR="00C92622" w:rsidRPr="00F80467">
        <w:t>f</w:t>
      </w:r>
      <w:r w:rsidRPr="00F80467">
        <w:t xml:space="preserve">unding </w:t>
      </w:r>
      <w:r w:rsidR="00C92622" w:rsidRPr="00F80467">
        <w:t xml:space="preserve">- </w:t>
      </w:r>
      <w:r w:rsidRPr="00F80467">
        <w:t xml:space="preserve">two </w:t>
      </w:r>
      <w:r w:rsidR="00C92622" w:rsidRPr="00F80467">
        <w:t xml:space="preserve">additional </w:t>
      </w:r>
      <w:r w:rsidRPr="00F80467">
        <w:t>“navigator” posts</w:t>
      </w:r>
    </w:p>
    <w:p w:rsidR="00264652" w:rsidRPr="00F80467" w:rsidRDefault="00264652" w:rsidP="00264652">
      <w:pPr>
        <w:pStyle w:val="ListParagraph"/>
        <w:numPr>
          <w:ilvl w:val="0"/>
          <w:numId w:val="0"/>
        </w:numPr>
        <w:spacing w:after="0"/>
        <w:ind w:left="360"/>
        <w:rPr>
          <w:rFonts w:cs="Arial"/>
          <w:color w:val="auto"/>
        </w:rPr>
      </w:pPr>
    </w:p>
    <w:p w:rsidR="008A2ADB" w:rsidRPr="00F80467" w:rsidRDefault="00B856F6" w:rsidP="007D5A71">
      <w:pPr>
        <w:pStyle w:val="ListParagraph"/>
        <w:numPr>
          <w:ilvl w:val="0"/>
          <w:numId w:val="11"/>
        </w:numPr>
        <w:spacing w:after="0"/>
        <w:rPr>
          <w:rFonts w:cs="Arial"/>
        </w:rPr>
      </w:pPr>
      <w:r w:rsidRPr="00F80467">
        <w:rPr>
          <w:rFonts w:cs="Arial"/>
        </w:rPr>
        <w:t>St Mungo</w:t>
      </w:r>
      <w:r w:rsidR="001C6C56">
        <w:rPr>
          <w:rFonts w:cs="Arial"/>
        </w:rPr>
        <w:t>’</w:t>
      </w:r>
      <w:r w:rsidRPr="00F80467">
        <w:rPr>
          <w:rFonts w:cs="Arial"/>
        </w:rPr>
        <w:t xml:space="preserve">s will be commissioned to deliver the services at Floyds Row, including </w:t>
      </w:r>
      <w:r w:rsidR="00C87B9C">
        <w:rPr>
          <w:rFonts w:cs="Arial"/>
        </w:rPr>
        <w:t>the Street Outreach team</w:t>
      </w:r>
      <w:r w:rsidR="00264652" w:rsidRPr="00F80467">
        <w:rPr>
          <w:rFonts w:cs="Arial"/>
        </w:rPr>
        <w:t xml:space="preserve"> (although reducing the additional services</w:t>
      </w:r>
      <w:r w:rsidR="002E4EC4" w:rsidRPr="00F80467">
        <w:rPr>
          <w:rFonts w:cs="Arial"/>
        </w:rPr>
        <w:t>, listed above,</w:t>
      </w:r>
      <w:r w:rsidR="00264652" w:rsidRPr="00F80467">
        <w:rPr>
          <w:rFonts w:cs="Arial"/>
        </w:rPr>
        <w:t xml:space="preserve"> </w:t>
      </w:r>
      <w:r w:rsidR="00E62019">
        <w:rPr>
          <w:rFonts w:cs="Arial"/>
        </w:rPr>
        <w:t>when</w:t>
      </w:r>
      <w:r w:rsidR="00264652" w:rsidRPr="00F80467">
        <w:rPr>
          <w:rFonts w:cs="Arial"/>
        </w:rPr>
        <w:t xml:space="preserve"> </w:t>
      </w:r>
      <w:r w:rsidR="002E4EC4" w:rsidRPr="00F80467">
        <w:rPr>
          <w:rFonts w:cs="Arial"/>
        </w:rPr>
        <w:t xml:space="preserve">these </w:t>
      </w:r>
      <w:r w:rsidR="00E62019">
        <w:rPr>
          <w:rFonts w:cs="Arial"/>
        </w:rPr>
        <w:t xml:space="preserve">current </w:t>
      </w:r>
      <w:r w:rsidR="00264652" w:rsidRPr="00F80467">
        <w:rPr>
          <w:rFonts w:cs="Arial"/>
        </w:rPr>
        <w:t xml:space="preserve">funding </w:t>
      </w:r>
      <w:r w:rsidR="002E4EC4" w:rsidRPr="00F80467">
        <w:rPr>
          <w:rFonts w:cs="Arial"/>
        </w:rPr>
        <w:t xml:space="preserve">streams </w:t>
      </w:r>
      <w:r w:rsidR="00E62019">
        <w:rPr>
          <w:rFonts w:cs="Arial"/>
        </w:rPr>
        <w:t>end</w:t>
      </w:r>
      <w:r w:rsidR="00264652" w:rsidRPr="00F80467">
        <w:rPr>
          <w:rFonts w:cs="Arial"/>
        </w:rPr>
        <w:t>)</w:t>
      </w:r>
      <w:r w:rsidR="002C7650" w:rsidRPr="00F80467">
        <w:rPr>
          <w:rFonts w:cs="Arial"/>
        </w:rPr>
        <w:t xml:space="preserve">. The </w:t>
      </w:r>
      <w:r w:rsidR="00264652" w:rsidRPr="00F80467">
        <w:rPr>
          <w:rFonts w:cs="Arial"/>
          <w:color w:val="auto"/>
        </w:rPr>
        <w:t xml:space="preserve">annual </w:t>
      </w:r>
      <w:r w:rsidR="00E62019">
        <w:rPr>
          <w:rFonts w:cs="Arial"/>
          <w:color w:val="auto"/>
        </w:rPr>
        <w:t xml:space="preserve">net </w:t>
      </w:r>
      <w:r w:rsidR="00264652" w:rsidRPr="00F80467">
        <w:rPr>
          <w:rFonts w:cs="Arial"/>
          <w:color w:val="auto"/>
        </w:rPr>
        <w:t xml:space="preserve">cost </w:t>
      </w:r>
      <w:r w:rsidR="002C7650" w:rsidRPr="00F80467">
        <w:rPr>
          <w:rFonts w:cs="Arial"/>
          <w:color w:val="auto"/>
        </w:rPr>
        <w:t xml:space="preserve">of the full project </w:t>
      </w:r>
      <w:r w:rsidR="00264652" w:rsidRPr="00F80467">
        <w:rPr>
          <w:rFonts w:cs="Arial"/>
          <w:color w:val="auto"/>
        </w:rPr>
        <w:t xml:space="preserve">to </w:t>
      </w:r>
      <w:r w:rsidR="002E4EC4" w:rsidRPr="00F80467">
        <w:rPr>
          <w:rFonts w:cs="Arial"/>
          <w:color w:val="auto"/>
        </w:rPr>
        <w:t>the Council is</w:t>
      </w:r>
      <w:r w:rsidR="008A2ADB" w:rsidRPr="00F80467">
        <w:rPr>
          <w:rFonts w:cs="Arial"/>
          <w:color w:val="auto"/>
        </w:rPr>
        <w:t xml:space="preserve"> </w:t>
      </w:r>
      <w:r w:rsidR="002C7650" w:rsidRPr="00F80467">
        <w:rPr>
          <w:rFonts w:cs="Arial"/>
          <w:color w:val="auto"/>
        </w:rPr>
        <w:t>£</w:t>
      </w:r>
      <w:r w:rsidR="008A2ADB" w:rsidRPr="00F80467">
        <w:rPr>
          <w:rFonts w:cs="Arial"/>
          <w:color w:val="auto"/>
        </w:rPr>
        <w:t>1.2m (on average, over the four years)</w:t>
      </w:r>
      <w:r w:rsidR="00E62019">
        <w:rPr>
          <w:rFonts w:cs="Arial"/>
          <w:color w:val="auto"/>
        </w:rPr>
        <w:t xml:space="preserve">. In </w:t>
      </w:r>
      <w:r w:rsidR="002D2267">
        <w:rPr>
          <w:rFonts w:cs="Arial"/>
          <w:color w:val="auto"/>
        </w:rPr>
        <w:t>addition</w:t>
      </w:r>
      <w:r w:rsidR="00E62019">
        <w:rPr>
          <w:rFonts w:cs="Arial"/>
          <w:color w:val="auto"/>
        </w:rPr>
        <w:t xml:space="preserve"> to this, £1</w:t>
      </w:r>
      <w:r w:rsidR="002D2267">
        <w:rPr>
          <w:rFonts w:cs="Arial"/>
          <w:color w:val="auto"/>
        </w:rPr>
        <w:t>2</w:t>
      </w:r>
      <w:r w:rsidR="00264652" w:rsidRPr="00F80467">
        <w:rPr>
          <w:rFonts w:cs="Arial"/>
          <w:color w:val="auto"/>
        </w:rPr>
        <w:t>0k will be contributed by St Mungo’s</w:t>
      </w:r>
      <w:r w:rsidR="008A2ADB" w:rsidRPr="00F80467">
        <w:rPr>
          <w:rFonts w:cs="Arial"/>
          <w:color w:val="auto"/>
        </w:rPr>
        <w:t xml:space="preserve"> each year</w:t>
      </w:r>
      <w:r w:rsidR="00264652" w:rsidRPr="00F80467">
        <w:rPr>
          <w:rFonts w:cs="Arial"/>
          <w:color w:val="auto"/>
        </w:rPr>
        <w:t>, subject to</w:t>
      </w:r>
      <w:r w:rsidR="002C7650" w:rsidRPr="00F80467">
        <w:rPr>
          <w:rFonts w:cs="Arial"/>
          <w:color w:val="auto"/>
        </w:rPr>
        <w:t xml:space="preserve"> the full project being progressed and</w:t>
      </w:r>
      <w:r w:rsidR="00264652" w:rsidRPr="00F80467">
        <w:rPr>
          <w:rFonts w:cs="Arial"/>
          <w:color w:val="auto"/>
        </w:rPr>
        <w:t xml:space="preserve"> a long-term lease being agreed. </w:t>
      </w:r>
    </w:p>
    <w:p w:rsidR="008A2ADB" w:rsidRPr="00F80467" w:rsidRDefault="008A2ADB" w:rsidP="008A2ADB">
      <w:pPr>
        <w:pStyle w:val="ListParagraph"/>
        <w:numPr>
          <w:ilvl w:val="0"/>
          <w:numId w:val="0"/>
        </w:numPr>
        <w:spacing w:after="0"/>
        <w:ind w:left="360"/>
        <w:rPr>
          <w:rFonts w:cs="Arial"/>
        </w:rPr>
      </w:pPr>
    </w:p>
    <w:p w:rsidR="007D5A71" w:rsidRPr="001C6C56" w:rsidRDefault="00E62019" w:rsidP="007D5A71">
      <w:pPr>
        <w:pStyle w:val="ListParagraph"/>
        <w:numPr>
          <w:ilvl w:val="0"/>
          <w:numId w:val="11"/>
        </w:numPr>
        <w:spacing w:after="0"/>
        <w:rPr>
          <w:rFonts w:cs="Arial"/>
          <w:color w:val="auto"/>
        </w:rPr>
      </w:pPr>
      <w:r>
        <w:rPr>
          <w:rFonts w:cs="Arial"/>
          <w:color w:val="auto"/>
        </w:rPr>
        <w:lastRenderedPageBreak/>
        <w:t>The Council spend</w:t>
      </w:r>
      <w:r w:rsidR="00264652" w:rsidRPr="001C6C56">
        <w:rPr>
          <w:rFonts w:cs="Arial"/>
          <w:color w:val="auto"/>
        </w:rPr>
        <w:t xml:space="preserve"> will be partly funded through the re-profiling of expenditure that currently goes</w:t>
      </w:r>
      <w:r w:rsidR="008A2ADB" w:rsidRPr="001C6C56">
        <w:rPr>
          <w:rFonts w:cs="Arial"/>
          <w:color w:val="auto"/>
        </w:rPr>
        <w:t xml:space="preserve"> towards the core outreach cost, and also funded partly by income from service charge (which contributes towards the cost of housing management staff).</w:t>
      </w:r>
      <w:r w:rsidR="00264652" w:rsidRPr="001C6C56">
        <w:rPr>
          <w:rFonts w:cs="Arial"/>
          <w:color w:val="auto"/>
        </w:rPr>
        <w:t xml:space="preserve"> In year one, </w:t>
      </w:r>
      <w:r w:rsidR="008A2ADB" w:rsidRPr="001C6C56">
        <w:rPr>
          <w:rFonts w:cs="Arial"/>
          <w:color w:val="auto"/>
        </w:rPr>
        <w:t>costs are covered as they will also be</w:t>
      </w:r>
      <w:r w:rsidR="00264652" w:rsidRPr="001C6C56">
        <w:rPr>
          <w:rFonts w:cs="Arial"/>
          <w:color w:val="auto"/>
        </w:rPr>
        <w:t xml:space="preserve"> supplemented by some</w:t>
      </w:r>
      <w:r w:rsidR="008A2ADB" w:rsidRPr="001C6C56">
        <w:rPr>
          <w:rFonts w:cs="Arial"/>
          <w:color w:val="auto"/>
        </w:rPr>
        <w:t xml:space="preserve"> MHCLG</w:t>
      </w:r>
      <w:r w:rsidR="00264652" w:rsidRPr="001C6C56">
        <w:rPr>
          <w:rFonts w:cs="Arial"/>
          <w:color w:val="auto"/>
        </w:rPr>
        <w:t xml:space="preserve"> grant funding. </w:t>
      </w:r>
      <w:r w:rsidR="008A2ADB" w:rsidRPr="001C6C56">
        <w:rPr>
          <w:rFonts w:cs="Arial"/>
          <w:color w:val="auto"/>
        </w:rPr>
        <w:t>From year two</w:t>
      </w:r>
      <w:r w:rsidR="002C7650" w:rsidRPr="001C6C56">
        <w:rPr>
          <w:rFonts w:cs="Arial"/>
          <w:color w:val="auto"/>
        </w:rPr>
        <w:t xml:space="preserve"> however</w:t>
      </w:r>
      <w:r w:rsidR="008A2ADB" w:rsidRPr="001C6C56">
        <w:rPr>
          <w:rFonts w:cs="Arial"/>
          <w:color w:val="auto"/>
        </w:rPr>
        <w:t>, there is a deficit.</w:t>
      </w:r>
    </w:p>
    <w:p w:rsidR="007D5A71" w:rsidRPr="004149D1" w:rsidRDefault="007D5A71" w:rsidP="004149D1">
      <w:pPr>
        <w:rPr>
          <w:rFonts w:cs="Arial"/>
          <w:color w:val="FF0000"/>
        </w:rPr>
      </w:pPr>
    </w:p>
    <w:p w:rsidR="005D0694" w:rsidRDefault="002E4EC4" w:rsidP="007D5A71">
      <w:pPr>
        <w:pStyle w:val="ListParagraph"/>
        <w:numPr>
          <w:ilvl w:val="0"/>
          <w:numId w:val="11"/>
        </w:numPr>
        <w:spacing w:after="0"/>
        <w:rPr>
          <w:rFonts w:cs="Arial"/>
          <w:color w:val="auto"/>
        </w:rPr>
      </w:pPr>
      <w:r w:rsidRPr="00F80467">
        <w:rPr>
          <w:rFonts w:cs="Arial"/>
          <w:color w:val="auto"/>
        </w:rPr>
        <w:t>A Memorandum of Understanding on a Strategic Partnership between St M</w:t>
      </w:r>
      <w:r w:rsidR="00C5528C">
        <w:rPr>
          <w:rFonts w:cs="Arial"/>
          <w:color w:val="auto"/>
        </w:rPr>
        <w:t xml:space="preserve">ungo’s and Oxford City Council </w:t>
      </w:r>
      <w:r w:rsidRPr="00F80467">
        <w:rPr>
          <w:rFonts w:cs="Arial"/>
          <w:color w:val="auto"/>
        </w:rPr>
        <w:t xml:space="preserve">has been drafted for agreement.  One element of this is for a </w:t>
      </w:r>
      <w:r w:rsidR="00264652" w:rsidRPr="00F80467">
        <w:rPr>
          <w:rFonts w:cs="Arial"/>
          <w:color w:val="auto"/>
        </w:rPr>
        <w:t xml:space="preserve">30 year lease </w:t>
      </w:r>
      <w:r w:rsidRPr="00F80467">
        <w:rPr>
          <w:rFonts w:cs="Arial"/>
          <w:color w:val="auto"/>
        </w:rPr>
        <w:t xml:space="preserve">of Floyds Row to be agreed between the Council and St Mungo’s.  This is proposed to be charged </w:t>
      </w:r>
      <w:r w:rsidR="00264652" w:rsidRPr="00F80467">
        <w:rPr>
          <w:rFonts w:cs="Arial"/>
          <w:color w:val="auto"/>
        </w:rPr>
        <w:t xml:space="preserve">at </w:t>
      </w:r>
      <w:r w:rsidRPr="00F80467">
        <w:rPr>
          <w:rFonts w:cs="Arial"/>
          <w:color w:val="auto"/>
        </w:rPr>
        <w:t>a peppercorn rent only.  The l</w:t>
      </w:r>
      <w:r w:rsidR="0025287B" w:rsidRPr="00F80467">
        <w:rPr>
          <w:rFonts w:cs="Arial"/>
          <w:color w:val="auto"/>
        </w:rPr>
        <w:t xml:space="preserve">ease will require St Mungo’s to enter into a reasonable management agreement with another provider should that provider be commissioned to provide the service after April </w:t>
      </w:r>
      <w:r w:rsidR="00C5528C">
        <w:rPr>
          <w:rFonts w:cs="Arial"/>
          <w:color w:val="auto"/>
        </w:rPr>
        <w:t>2021.</w:t>
      </w:r>
    </w:p>
    <w:p w:rsidR="005D0694" w:rsidRPr="005D0694" w:rsidRDefault="005D0694" w:rsidP="005D0694">
      <w:pPr>
        <w:pStyle w:val="ListParagraph"/>
        <w:numPr>
          <w:ilvl w:val="0"/>
          <w:numId w:val="0"/>
        </w:numPr>
        <w:ind w:left="426"/>
        <w:rPr>
          <w:rFonts w:cs="Arial"/>
          <w:color w:val="auto"/>
        </w:rPr>
      </w:pPr>
    </w:p>
    <w:p w:rsidR="00E62019" w:rsidRDefault="0025287B" w:rsidP="007D5A71">
      <w:pPr>
        <w:pStyle w:val="ListParagraph"/>
        <w:numPr>
          <w:ilvl w:val="0"/>
          <w:numId w:val="11"/>
        </w:numPr>
        <w:spacing w:after="0"/>
        <w:rPr>
          <w:rFonts w:cs="Arial"/>
          <w:color w:val="auto"/>
        </w:rPr>
      </w:pPr>
      <w:r w:rsidRPr="00F80467">
        <w:rPr>
          <w:rFonts w:cs="Arial"/>
          <w:color w:val="auto"/>
        </w:rPr>
        <w:t>Break clauses will also apply at review points</w:t>
      </w:r>
      <w:r w:rsidR="00C5528C">
        <w:rPr>
          <w:rFonts w:cs="Arial"/>
          <w:color w:val="auto"/>
        </w:rPr>
        <w:t xml:space="preserve"> in the lease</w:t>
      </w:r>
      <w:r w:rsidRPr="00F80467">
        <w:rPr>
          <w:rFonts w:cs="Arial"/>
          <w:color w:val="auto"/>
        </w:rPr>
        <w:t xml:space="preserve"> to </w:t>
      </w:r>
      <w:r w:rsidR="002E4EC4" w:rsidRPr="00F80467">
        <w:rPr>
          <w:rFonts w:cs="Arial"/>
          <w:color w:val="auto"/>
        </w:rPr>
        <w:t>allow each party to re-</w:t>
      </w:r>
      <w:r w:rsidRPr="00F80467">
        <w:rPr>
          <w:rFonts w:cs="Arial"/>
          <w:color w:val="auto"/>
        </w:rPr>
        <w:t xml:space="preserve">assess the </w:t>
      </w:r>
      <w:r w:rsidR="002E4EC4" w:rsidRPr="00F80467">
        <w:rPr>
          <w:rFonts w:cs="Arial"/>
          <w:color w:val="auto"/>
        </w:rPr>
        <w:t xml:space="preserve">service requirement </w:t>
      </w:r>
      <w:r w:rsidRPr="00F80467">
        <w:rPr>
          <w:rFonts w:cs="Arial"/>
          <w:color w:val="auto"/>
        </w:rPr>
        <w:t>landscape</w:t>
      </w:r>
      <w:r w:rsidR="002E4EC4" w:rsidRPr="00F80467">
        <w:rPr>
          <w:rFonts w:cs="Arial"/>
          <w:color w:val="auto"/>
        </w:rPr>
        <w:t xml:space="preserve">, emerging </w:t>
      </w:r>
      <w:r w:rsidRPr="00F80467">
        <w:rPr>
          <w:rFonts w:cs="Arial"/>
          <w:color w:val="auto"/>
        </w:rPr>
        <w:t>needs</w:t>
      </w:r>
      <w:r w:rsidR="002E4EC4" w:rsidRPr="00F80467">
        <w:rPr>
          <w:rFonts w:cs="Arial"/>
          <w:color w:val="auto"/>
        </w:rPr>
        <w:t>, and other initiatives and financial circumstances.  The current planning consent for Floyds Row, in terms of change of use, is currently only for five years also</w:t>
      </w:r>
      <w:r w:rsidR="00E62019">
        <w:rPr>
          <w:rFonts w:cs="Arial"/>
          <w:color w:val="auto"/>
        </w:rPr>
        <w:t>.  The financial cost of</w:t>
      </w:r>
      <w:r w:rsidR="00C5528C">
        <w:rPr>
          <w:rFonts w:cs="Arial"/>
          <w:color w:val="auto"/>
        </w:rPr>
        <w:t xml:space="preserve"> seeking </w:t>
      </w:r>
      <w:r w:rsidR="00E62019">
        <w:rPr>
          <w:rFonts w:cs="Arial"/>
          <w:color w:val="auto"/>
        </w:rPr>
        <w:t>planning consent for change of use again, should that be required from year 6 on, is negligible.</w:t>
      </w:r>
    </w:p>
    <w:p w:rsidR="00E62019" w:rsidRPr="00E62019" w:rsidRDefault="00E62019" w:rsidP="00E62019">
      <w:pPr>
        <w:pStyle w:val="ListParagraph"/>
        <w:numPr>
          <w:ilvl w:val="0"/>
          <w:numId w:val="0"/>
        </w:numPr>
        <w:ind w:left="426"/>
        <w:rPr>
          <w:rFonts w:cs="Arial"/>
          <w:color w:val="auto"/>
        </w:rPr>
      </w:pPr>
    </w:p>
    <w:p w:rsidR="00831B35" w:rsidRPr="00F80467" w:rsidRDefault="00E62019" w:rsidP="007D5A71">
      <w:pPr>
        <w:pStyle w:val="ListParagraph"/>
        <w:numPr>
          <w:ilvl w:val="0"/>
          <w:numId w:val="11"/>
        </w:numPr>
        <w:spacing w:after="0"/>
        <w:rPr>
          <w:rFonts w:cs="Arial"/>
          <w:color w:val="auto"/>
        </w:rPr>
      </w:pPr>
      <w:r>
        <w:rPr>
          <w:rFonts w:cs="Arial"/>
          <w:color w:val="auto"/>
        </w:rPr>
        <w:t xml:space="preserve">The rental income assumptions within Council budgets for the lease rental return on the building, which is foregone, is proposed to be recompensed from the revenue funding for this project, and this assumption is included within the financial modelling </w:t>
      </w:r>
      <w:r w:rsidR="002E4EC4" w:rsidRPr="00F80467">
        <w:rPr>
          <w:rFonts w:cs="Arial"/>
          <w:color w:val="auto"/>
        </w:rPr>
        <w:t>.</w:t>
      </w:r>
    </w:p>
    <w:p w:rsidR="00831B35" w:rsidRPr="00F80467" w:rsidRDefault="00831B35" w:rsidP="00831B35">
      <w:pPr>
        <w:pStyle w:val="ListParagraph"/>
        <w:numPr>
          <w:ilvl w:val="0"/>
          <w:numId w:val="0"/>
        </w:numPr>
        <w:spacing w:after="0"/>
        <w:ind w:left="360"/>
        <w:rPr>
          <w:rFonts w:cs="Arial"/>
          <w:b/>
          <w:color w:val="auto"/>
        </w:rPr>
      </w:pPr>
    </w:p>
    <w:p w:rsidR="00560C8C" w:rsidRPr="00F80467" w:rsidRDefault="004E2FB5" w:rsidP="007D5A71">
      <w:pPr>
        <w:spacing w:after="0"/>
        <w:ind w:left="426" w:hanging="426"/>
        <w:rPr>
          <w:rFonts w:cs="Arial"/>
          <w:b/>
          <w:color w:val="auto"/>
        </w:rPr>
      </w:pPr>
      <w:r w:rsidRPr="00F80467">
        <w:rPr>
          <w:rFonts w:cs="Arial"/>
          <w:b/>
          <w:color w:val="auto"/>
        </w:rPr>
        <w:t>Interim Service arrangements</w:t>
      </w:r>
    </w:p>
    <w:p w:rsidR="007D5A71" w:rsidRPr="00F80467" w:rsidRDefault="007D5A71" w:rsidP="007D5A71">
      <w:pPr>
        <w:spacing w:after="0"/>
        <w:ind w:left="426" w:hanging="426"/>
        <w:rPr>
          <w:rFonts w:cs="Arial"/>
          <w:b/>
          <w:color w:val="auto"/>
        </w:rPr>
      </w:pPr>
    </w:p>
    <w:p w:rsidR="001043BC" w:rsidRPr="00F80467" w:rsidRDefault="001043BC" w:rsidP="001043BC">
      <w:pPr>
        <w:pStyle w:val="ListParagraph"/>
        <w:numPr>
          <w:ilvl w:val="0"/>
          <w:numId w:val="11"/>
        </w:numPr>
        <w:spacing w:after="0"/>
        <w:rPr>
          <w:rFonts w:cs="Arial"/>
          <w:color w:val="auto"/>
        </w:rPr>
      </w:pPr>
      <w:r w:rsidRPr="00F80467">
        <w:rPr>
          <w:rFonts w:cs="Arial"/>
          <w:color w:val="auto"/>
        </w:rPr>
        <w:t>Given the challenges in delivering Floyds Row, the building is not expected to be ready for service delivery until late December</w:t>
      </w:r>
      <w:r>
        <w:rPr>
          <w:rFonts w:cs="Arial"/>
          <w:color w:val="auto"/>
        </w:rPr>
        <w:t xml:space="preserve"> 2019</w:t>
      </w:r>
      <w:r w:rsidRPr="00F80467">
        <w:rPr>
          <w:rFonts w:cs="Arial"/>
          <w:color w:val="auto"/>
        </w:rPr>
        <w:t xml:space="preserve">. </w:t>
      </w:r>
      <w:r>
        <w:rPr>
          <w:rFonts w:cs="Arial"/>
          <w:color w:val="auto"/>
        </w:rPr>
        <w:t xml:space="preserve"> </w:t>
      </w:r>
      <w:r w:rsidRPr="00F80467">
        <w:rPr>
          <w:rFonts w:cs="Arial"/>
          <w:color w:val="auto"/>
        </w:rPr>
        <w:t xml:space="preserve">As </w:t>
      </w:r>
      <w:r>
        <w:rPr>
          <w:rFonts w:cs="Arial"/>
          <w:color w:val="auto"/>
        </w:rPr>
        <w:t xml:space="preserve">the Council has </w:t>
      </w:r>
      <w:r w:rsidRPr="00F80467">
        <w:rPr>
          <w:rFonts w:cs="Arial"/>
          <w:color w:val="auto"/>
        </w:rPr>
        <w:t xml:space="preserve">committed to </w:t>
      </w:r>
      <w:r>
        <w:rPr>
          <w:rFonts w:cs="Arial"/>
          <w:color w:val="auto"/>
        </w:rPr>
        <w:t xml:space="preserve">the </w:t>
      </w:r>
      <w:r w:rsidRPr="00F80467">
        <w:rPr>
          <w:rFonts w:cs="Arial"/>
          <w:color w:val="auto"/>
        </w:rPr>
        <w:t xml:space="preserve">MHCLG to deliver </w:t>
      </w:r>
      <w:r>
        <w:rPr>
          <w:rFonts w:cs="Arial"/>
          <w:color w:val="auto"/>
        </w:rPr>
        <w:t>the Somewhere Safe to Stay (</w:t>
      </w:r>
      <w:proofErr w:type="spellStart"/>
      <w:r>
        <w:rPr>
          <w:rFonts w:cs="Arial"/>
          <w:color w:val="auto"/>
        </w:rPr>
        <w:t>SStS</w:t>
      </w:r>
      <w:proofErr w:type="spellEnd"/>
      <w:r>
        <w:rPr>
          <w:rFonts w:cs="Arial"/>
          <w:color w:val="auto"/>
        </w:rPr>
        <w:t>) service</w:t>
      </w:r>
      <w:r w:rsidRPr="00F80467">
        <w:rPr>
          <w:rFonts w:cs="Arial"/>
          <w:color w:val="auto"/>
        </w:rPr>
        <w:t xml:space="preserve"> by the 21</w:t>
      </w:r>
      <w:r w:rsidRPr="00F80467">
        <w:rPr>
          <w:rFonts w:cs="Arial"/>
          <w:color w:val="auto"/>
          <w:vertAlign w:val="superscript"/>
        </w:rPr>
        <w:t>st</w:t>
      </w:r>
      <w:r w:rsidRPr="00F80467">
        <w:rPr>
          <w:rFonts w:cs="Arial"/>
          <w:color w:val="auto"/>
        </w:rPr>
        <w:t xml:space="preserve"> October </w:t>
      </w:r>
      <w:r>
        <w:rPr>
          <w:rFonts w:cs="Arial"/>
          <w:color w:val="auto"/>
        </w:rPr>
        <w:t xml:space="preserve">2019, </w:t>
      </w:r>
      <w:r w:rsidRPr="00F80467">
        <w:rPr>
          <w:rFonts w:cs="Arial"/>
          <w:color w:val="auto"/>
        </w:rPr>
        <w:t xml:space="preserve">and members have committed to provide a winter shelter from early winter, </w:t>
      </w:r>
      <w:r>
        <w:rPr>
          <w:rFonts w:cs="Arial"/>
          <w:color w:val="auto"/>
        </w:rPr>
        <w:t>the Council has</w:t>
      </w:r>
      <w:r w:rsidRPr="00F80467">
        <w:rPr>
          <w:rFonts w:cs="Arial"/>
          <w:color w:val="auto"/>
        </w:rPr>
        <w:t xml:space="preserve"> put in place arrangements for an interim service, to operate out of Simon House, managed by St Mungo’s.  This interim arrangement will have twelve spaces for an </w:t>
      </w:r>
      <w:proofErr w:type="spellStart"/>
      <w:r w:rsidRPr="00F80467">
        <w:rPr>
          <w:rFonts w:cs="Arial"/>
          <w:color w:val="auto"/>
        </w:rPr>
        <w:t>SStS</w:t>
      </w:r>
      <w:proofErr w:type="spellEnd"/>
      <w:r w:rsidRPr="00F80467">
        <w:rPr>
          <w:rFonts w:cs="Arial"/>
          <w:color w:val="auto"/>
        </w:rPr>
        <w:t xml:space="preserve"> service and between ten and fifteen spaces for a winter shelter.  </w:t>
      </w:r>
    </w:p>
    <w:p w:rsidR="00B856F6" w:rsidRPr="00F80467" w:rsidRDefault="00B856F6" w:rsidP="00F80467">
      <w:pPr>
        <w:spacing w:after="0"/>
        <w:rPr>
          <w:rFonts w:cs="Arial"/>
          <w:color w:val="auto"/>
        </w:rPr>
      </w:pPr>
    </w:p>
    <w:p w:rsidR="00B856F6" w:rsidRPr="003552B7" w:rsidRDefault="00B856F6" w:rsidP="00F80467">
      <w:pPr>
        <w:spacing w:after="0"/>
        <w:rPr>
          <w:rFonts w:cs="Arial"/>
          <w:b/>
          <w:color w:val="auto"/>
        </w:rPr>
      </w:pPr>
      <w:r w:rsidRPr="003552B7">
        <w:rPr>
          <w:rFonts w:cs="Arial"/>
          <w:b/>
          <w:color w:val="auto"/>
        </w:rPr>
        <w:t xml:space="preserve">Procurement </w:t>
      </w:r>
      <w:r w:rsidR="00B5255E" w:rsidRPr="003552B7">
        <w:rPr>
          <w:rFonts w:cs="Arial"/>
          <w:b/>
          <w:color w:val="auto"/>
        </w:rPr>
        <w:t>Arrangements</w:t>
      </w:r>
    </w:p>
    <w:p w:rsidR="008A2ADB" w:rsidRPr="00F80467" w:rsidRDefault="008A2ADB" w:rsidP="008A2ADB">
      <w:pPr>
        <w:pStyle w:val="ListParagraph"/>
        <w:numPr>
          <w:ilvl w:val="0"/>
          <w:numId w:val="0"/>
        </w:numPr>
        <w:spacing w:after="0"/>
        <w:ind w:left="360"/>
        <w:rPr>
          <w:rFonts w:cs="Arial"/>
          <w:color w:val="auto"/>
        </w:rPr>
      </w:pPr>
    </w:p>
    <w:p w:rsidR="008357B2" w:rsidRPr="008357B2" w:rsidRDefault="008357B2" w:rsidP="008357B2">
      <w:pPr>
        <w:pStyle w:val="ListParagraph"/>
        <w:numPr>
          <w:ilvl w:val="0"/>
          <w:numId w:val="11"/>
        </w:numPr>
        <w:spacing w:after="0"/>
        <w:rPr>
          <w:rFonts w:cs="Arial"/>
          <w:color w:val="auto"/>
        </w:rPr>
      </w:pPr>
      <w:r w:rsidRPr="008357B2">
        <w:rPr>
          <w:rFonts w:cs="Arial"/>
        </w:rPr>
        <w:t>In order to commission services up until March 2020, it is proposed that the current Street Outreach contract with St Mungo’s is varied for this purpose. This contract is for £350k per annum and was granted on a 3 years+ the ability to extend for a further 2 years basis.  Procurement rules allow for variation of up to 50% of the total contract value in certain circumstances.  It is proposed that an additional c</w:t>
      </w:r>
      <w:proofErr w:type="gramStart"/>
      <w:r w:rsidRPr="008357B2">
        <w:rPr>
          <w:rFonts w:cs="Arial"/>
        </w:rPr>
        <w:t>.£</w:t>
      </w:r>
      <w:proofErr w:type="gramEnd"/>
      <w:r w:rsidRPr="008357B2">
        <w:rPr>
          <w:rFonts w:cs="Arial"/>
        </w:rPr>
        <w:t xml:space="preserve">400k be added onto the contract, which is within this permitted level of flexibility and meets the further requirements of contract extension. </w:t>
      </w:r>
    </w:p>
    <w:p w:rsidR="008357B2" w:rsidRPr="008357B2" w:rsidRDefault="008357B2" w:rsidP="008357B2">
      <w:pPr>
        <w:spacing w:after="0"/>
        <w:ind w:left="426" w:hanging="426"/>
        <w:rPr>
          <w:rFonts w:cs="Arial"/>
          <w:color w:val="auto"/>
        </w:rPr>
      </w:pPr>
    </w:p>
    <w:p w:rsidR="008357B2" w:rsidRPr="008357B2" w:rsidRDefault="008357B2" w:rsidP="008357B2">
      <w:pPr>
        <w:pStyle w:val="ListParagraph"/>
        <w:numPr>
          <w:ilvl w:val="0"/>
          <w:numId w:val="11"/>
        </w:numPr>
        <w:spacing w:after="0"/>
        <w:rPr>
          <w:rFonts w:cs="Arial"/>
        </w:rPr>
      </w:pPr>
      <w:r w:rsidRPr="008357B2">
        <w:rPr>
          <w:rFonts w:cs="Arial"/>
        </w:rPr>
        <w:t>When the current contract with St Mungo’s expires, it is proposed that to facilitate a trial period of the revised operation,  a one year grant agreement be entered into with  St Mungo’s from 1</w:t>
      </w:r>
      <w:r w:rsidRPr="008357B2">
        <w:rPr>
          <w:rFonts w:cs="Arial"/>
          <w:vertAlign w:val="superscript"/>
        </w:rPr>
        <w:t>st</w:t>
      </w:r>
      <w:r w:rsidRPr="008357B2">
        <w:rPr>
          <w:rFonts w:cs="Arial"/>
        </w:rPr>
        <w:t xml:space="preserve"> April 2020 to 31</w:t>
      </w:r>
      <w:r w:rsidRPr="008357B2">
        <w:rPr>
          <w:rFonts w:cs="Arial"/>
          <w:vertAlign w:val="superscript"/>
        </w:rPr>
        <w:t>st</w:t>
      </w:r>
      <w:r w:rsidRPr="008357B2">
        <w:rPr>
          <w:rFonts w:cs="Arial"/>
        </w:rPr>
        <w:t xml:space="preserve"> March 2021, to fund the outreach and </w:t>
      </w:r>
      <w:r w:rsidRPr="008357B2">
        <w:rPr>
          <w:rFonts w:cs="Arial"/>
        </w:rPr>
        <w:lastRenderedPageBreak/>
        <w:t>Floyds Row services, before going to full tender.  This allows for the rapid mobilisation of this service; time for the service to bed in and for lessons to be learnt; and to enable a full and evidenced specification to be written for tender. This trial period is important given this service is different to any delivered previously.</w:t>
      </w:r>
    </w:p>
    <w:p w:rsidR="007D5A71" w:rsidRPr="00A3773A" w:rsidRDefault="007D5A71" w:rsidP="007D5A71">
      <w:pPr>
        <w:ind w:left="426" w:hanging="426"/>
        <w:rPr>
          <w:b/>
        </w:rPr>
      </w:pPr>
    </w:p>
    <w:p w:rsidR="007D5A71" w:rsidRPr="004149D1" w:rsidRDefault="007D5A71" w:rsidP="007D5A71">
      <w:pPr>
        <w:spacing w:after="0"/>
        <w:ind w:left="426" w:hanging="426"/>
        <w:rPr>
          <w:rFonts w:cs="Arial"/>
          <w:color w:val="auto"/>
        </w:rPr>
      </w:pPr>
      <w:r w:rsidRPr="004149D1">
        <w:rPr>
          <w:b/>
        </w:rPr>
        <w:t xml:space="preserve">Options </w:t>
      </w:r>
    </w:p>
    <w:p w:rsidR="007D5A71" w:rsidRPr="004149D1" w:rsidRDefault="007D5A71" w:rsidP="007D5A71">
      <w:pPr>
        <w:ind w:left="426" w:hanging="426"/>
        <w:rPr>
          <w:rFonts w:cs="Arial"/>
          <w:color w:val="auto"/>
        </w:rPr>
      </w:pPr>
    </w:p>
    <w:p w:rsidR="002C7650" w:rsidRPr="004149D1" w:rsidRDefault="002C7650" w:rsidP="007D5A71">
      <w:pPr>
        <w:pStyle w:val="ListParagraph"/>
        <w:numPr>
          <w:ilvl w:val="0"/>
          <w:numId w:val="11"/>
        </w:numPr>
        <w:spacing w:after="0"/>
        <w:rPr>
          <w:rFonts w:cs="Arial"/>
          <w:color w:val="auto"/>
        </w:rPr>
      </w:pPr>
      <w:r w:rsidRPr="004149D1">
        <w:rPr>
          <w:rFonts w:cs="Arial"/>
          <w:color w:val="auto"/>
        </w:rPr>
        <w:t xml:space="preserve">Officers recommend that </w:t>
      </w:r>
      <w:r w:rsidR="00B36518" w:rsidRPr="004149D1">
        <w:rPr>
          <w:rFonts w:cs="Arial"/>
          <w:color w:val="auto"/>
        </w:rPr>
        <w:t>Floyds Row is fully developed (</w:t>
      </w:r>
      <w:r w:rsidR="00E62019">
        <w:rPr>
          <w:rFonts w:cs="Arial"/>
          <w:color w:val="auto"/>
        </w:rPr>
        <w:t xml:space="preserve">Option </w:t>
      </w:r>
      <w:r w:rsidR="00B36518" w:rsidRPr="004149D1">
        <w:rPr>
          <w:rFonts w:cs="Arial"/>
          <w:color w:val="auto"/>
        </w:rPr>
        <w:t>A)</w:t>
      </w:r>
      <w:r w:rsidRPr="004149D1">
        <w:rPr>
          <w:rFonts w:cs="Arial"/>
          <w:color w:val="auto"/>
        </w:rPr>
        <w:t xml:space="preserve"> as this provides the best value for money, as well</w:t>
      </w:r>
      <w:r w:rsidR="00C44F4D" w:rsidRPr="004149D1">
        <w:rPr>
          <w:rFonts w:cs="Arial"/>
          <w:color w:val="auto"/>
        </w:rPr>
        <w:t xml:space="preserve"> a</w:t>
      </w:r>
      <w:r w:rsidRPr="004149D1">
        <w:rPr>
          <w:rFonts w:cs="Arial"/>
          <w:color w:val="auto"/>
        </w:rPr>
        <w:t>s the best outcomes for clients.</w:t>
      </w:r>
    </w:p>
    <w:p w:rsidR="002C7650" w:rsidRPr="004149D1" w:rsidRDefault="002C7650" w:rsidP="002C7650">
      <w:pPr>
        <w:pStyle w:val="ListParagraph"/>
        <w:numPr>
          <w:ilvl w:val="0"/>
          <w:numId w:val="0"/>
        </w:numPr>
        <w:spacing w:after="0"/>
        <w:ind w:left="360"/>
        <w:rPr>
          <w:rFonts w:cs="Arial"/>
          <w:color w:val="auto"/>
        </w:rPr>
      </w:pPr>
    </w:p>
    <w:p w:rsidR="0071687E" w:rsidRPr="004149D1" w:rsidRDefault="002C7650" w:rsidP="007D5A71">
      <w:pPr>
        <w:pStyle w:val="ListParagraph"/>
        <w:numPr>
          <w:ilvl w:val="0"/>
          <w:numId w:val="11"/>
        </w:numPr>
        <w:spacing w:after="0"/>
        <w:rPr>
          <w:rFonts w:cs="Arial"/>
          <w:color w:val="auto"/>
        </w:rPr>
      </w:pPr>
      <w:r w:rsidRPr="004149D1">
        <w:rPr>
          <w:rFonts w:cs="Arial"/>
          <w:color w:val="auto"/>
        </w:rPr>
        <w:t>However there are options to partially complete the project</w:t>
      </w:r>
      <w:r w:rsidR="0071687E" w:rsidRPr="004149D1">
        <w:rPr>
          <w:rFonts w:cs="Arial"/>
          <w:color w:val="auto"/>
        </w:rPr>
        <w:t>:</w:t>
      </w:r>
    </w:p>
    <w:p w:rsidR="00B82006" w:rsidRPr="004149D1" w:rsidRDefault="00B82006" w:rsidP="004149D1">
      <w:pPr>
        <w:rPr>
          <w:rFonts w:cs="Arial"/>
          <w:color w:val="auto"/>
        </w:rPr>
      </w:pPr>
    </w:p>
    <w:p w:rsidR="0071687E" w:rsidRDefault="0071687E" w:rsidP="00F80467">
      <w:pPr>
        <w:pStyle w:val="ListParagraph"/>
        <w:numPr>
          <w:ilvl w:val="0"/>
          <w:numId w:val="25"/>
        </w:numPr>
        <w:spacing w:after="0"/>
        <w:rPr>
          <w:rFonts w:cs="Arial"/>
          <w:color w:val="auto"/>
        </w:rPr>
      </w:pPr>
      <w:r w:rsidRPr="003552B7">
        <w:rPr>
          <w:rFonts w:cs="Arial"/>
          <w:b/>
          <w:color w:val="auto"/>
        </w:rPr>
        <w:t>Option A:</w:t>
      </w:r>
      <w:r w:rsidRPr="004149D1">
        <w:rPr>
          <w:rFonts w:cs="Arial"/>
          <w:color w:val="auto"/>
        </w:rPr>
        <w:t xml:space="preserve"> Full completion of project, delivery of 20 Staging Post beds, 20 </w:t>
      </w:r>
      <w:proofErr w:type="spellStart"/>
      <w:r w:rsidRPr="004149D1">
        <w:rPr>
          <w:rFonts w:cs="Arial"/>
          <w:color w:val="auto"/>
        </w:rPr>
        <w:t>StSS</w:t>
      </w:r>
      <w:proofErr w:type="spellEnd"/>
      <w:r w:rsidRPr="004149D1">
        <w:rPr>
          <w:rFonts w:cs="Arial"/>
          <w:color w:val="auto"/>
        </w:rPr>
        <w:t xml:space="preserve"> beds and 16 Winter Shelter beds in addition to assessment hub</w:t>
      </w:r>
    </w:p>
    <w:p w:rsidR="002917E1" w:rsidRPr="004149D1" w:rsidRDefault="002917E1" w:rsidP="002917E1">
      <w:pPr>
        <w:pStyle w:val="ListParagraph"/>
        <w:numPr>
          <w:ilvl w:val="0"/>
          <w:numId w:val="0"/>
        </w:numPr>
        <w:spacing w:after="0"/>
        <w:ind w:left="1080"/>
        <w:rPr>
          <w:rFonts w:cs="Arial"/>
          <w:color w:val="auto"/>
        </w:rPr>
      </w:pPr>
    </w:p>
    <w:p w:rsidR="0071687E" w:rsidRDefault="0071687E" w:rsidP="00F80467">
      <w:pPr>
        <w:pStyle w:val="ListParagraph"/>
        <w:numPr>
          <w:ilvl w:val="0"/>
          <w:numId w:val="25"/>
        </w:numPr>
        <w:spacing w:after="0"/>
        <w:rPr>
          <w:rFonts w:cs="Arial"/>
          <w:color w:val="auto"/>
        </w:rPr>
      </w:pPr>
      <w:r w:rsidRPr="003552B7">
        <w:rPr>
          <w:rFonts w:cs="Arial"/>
          <w:b/>
          <w:color w:val="auto"/>
        </w:rPr>
        <w:t>Option B:</w:t>
      </w:r>
      <w:r w:rsidRPr="004149D1">
        <w:rPr>
          <w:rFonts w:cs="Arial"/>
          <w:color w:val="auto"/>
        </w:rPr>
        <w:t xml:space="preserve"> Completion of two wings [with construction ceasing part way through Phase 2]. Delivery of 20 </w:t>
      </w:r>
      <w:proofErr w:type="spellStart"/>
      <w:r w:rsidRPr="004149D1">
        <w:rPr>
          <w:rFonts w:cs="Arial"/>
          <w:color w:val="auto"/>
        </w:rPr>
        <w:t>StSS</w:t>
      </w:r>
      <w:proofErr w:type="spellEnd"/>
      <w:r w:rsidRPr="004149D1">
        <w:rPr>
          <w:rFonts w:cs="Arial"/>
          <w:color w:val="auto"/>
        </w:rPr>
        <w:t xml:space="preserve"> beds and 16 Winter Shelter beds in addition to assessment hub. N</w:t>
      </w:r>
      <w:r w:rsidR="00E21B1E">
        <w:rPr>
          <w:rFonts w:cs="Arial"/>
          <w:color w:val="auto"/>
        </w:rPr>
        <w:t>o</w:t>
      </w:r>
      <w:r w:rsidRPr="004149D1">
        <w:rPr>
          <w:rFonts w:cs="Arial"/>
          <w:color w:val="auto"/>
        </w:rPr>
        <w:t xml:space="preserve"> Staging Post</w:t>
      </w:r>
    </w:p>
    <w:p w:rsidR="002917E1" w:rsidRPr="002917E1" w:rsidRDefault="002917E1" w:rsidP="002917E1">
      <w:pPr>
        <w:pStyle w:val="ListParagraph"/>
        <w:numPr>
          <w:ilvl w:val="0"/>
          <w:numId w:val="0"/>
        </w:numPr>
        <w:ind w:left="426"/>
        <w:rPr>
          <w:rFonts w:cs="Arial"/>
          <w:color w:val="auto"/>
        </w:rPr>
      </w:pPr>
    </w:p>
    <w:p w:rsidR="0071687E" w:rsidRPr="004149D1" w:rsidRDefault="0071687E" w:rsidP="00F80467">
      <w:pPr>
        <w:pStyle w:val="ListParagraph"/>
        <w:numPr>
          <w:ilvl w:val="0"/>
          <w:numId w:val="25"/>
        </w:numPr>
        <w:spacing w:after="0"/>
        <w:rPr>
          <w:rFonts w:cs="Arial"/>
          <w:color w:val="auto"/>
        </w:rPr>
      </w:pPr>
      <w:r w:rsidRPr="003552B7">
        <w:rPr>
          <w:rFonts w:cs="Arial"/>
          <w:b/>
          <w:color w:val="auto"/>
        </w:rPr>
        <w:t>Option C:</w:t>
      </w:r>
      <w:r w:rsidRPr="004149D1">
        <w:rPr>
          <w:rFonts w:cs="Arial"/>
          <w:color w:val="auto"/>
        </w:rPr>
        <w:t xml:space="preserve"> Completion of one wing only with construction ceasing at the end of Phase 1]. Delivery of 12 </w:t>
      </w:r>
      <w:proofErr w:type="spellStart"/>
      <w:r w:rsidRPr="004149D1">
        <w:rPr>
          <w:rFonts w:cs="Arial"/>
          <w:color w:val="auto"/>
        </w:rPr>
        <w:t>StSS</w:t>
      </w:r>
      <w:proofErr w:type="spellEnd"/>
      <w:r w:rsidRPr="004149D1">
        <w:rPr>
          <w:rFonts w:cs="Arial"/>
          <w:color w:val="auto"/>
        </w:rPr>
        <w:t xml:space="preserve"> beds and 4 Winter Shelter beds in addition to assessment hub. No Staging Post</w:t>
      </w:r>
    </w:p>
    <w:p w:rsidR="00527AE7" w:rsidRPr="004149D1" w:rsidRDefault="00527AE7" w:rsidP="00527AE7">
      <w:pPr>
        <w:pStyle w:val="ListParagraph"/>
        <w:numPr>
          <w:ilvl w:val="0"/>
          <w:numId w:val="0"/>
        </w:numPr>
        <w:ind w:left="426"/>
        <w:rPr>
          <w:rFonts w:cs="Arial"/>
          <w:color w:val="auto"/>
        </w:rPr>
      </w:pPr>
    </w:p>
    <w:p w:rsidR="009F49A2" w:rsidRPr="00B82006" w:rsidRDefault="00527AE7" w:rsidP="00B82006">
      <w:pPr>
        <w:pStyle w:val="ListParagraph"/>
        <w:numPr>
          <w:ilvl w:val="0"/>
          <w:numId w:val="11"/>
        </w:numPr>
        <w:spacing w:after="0"/>
        <w:rPr>
          <w:rFonts w:cs="Arial"/>
          <w:color w:val="auto"/>
        </w:rPr>
      </w:pPr>
      <w:r w:rsidRPr="004149D1">
        <w:rPr>
          <w:rFonts w:cs="Arial"/>
          <w:color w:val="auto"/>
        </w:rPr>
        <w:t xml:space="preserve"> Table One summarises each option</w:t>
      </w:r>
      <w:r w:rsidR="0071687E" w:rsidRPr="004149D1">
        <w:rPr>
          <w:rFonts w:cs="Arial"/>
          <w:color w:val="auto"/>
        </w:rPr>
        <w:t xml:space="preserve"> in financial terms</w:t>
      </w:r>
      <w:r w:rsidR="003552B7">
        <w:rPr>
          <w:rFonts w:cs="Arial"/>
          <w:color w:val="auto"/>
        </w:rPr>
        <w:t xml:space="preserve"> (further detail in Appendix 3</w:t>
      </w:r>
      <w:r w:rsidRPr="004149D1">
        <w:rPr>
          <w:rFonts w:cs="Arial"/>
          <w:color w:val="auto"/>
        </w:rPr>
        <w:t>)</w:t>
      </w:r>
    </w:p>
    <w:p w:rsidR="00C44F4D" w:rsidRPr="004149D1" w:rsidRDefault="00C44F4D" w:rsidP="00B856F6">
      <w:pPr>
        <w:spacing w:after="0"/>
        <w:rPr>
          <w:rFonts w:cs="Arial"/>
          <w:color w:val="auto"/>
        </w:rPr>
      </w:pPr>
    </w:p>
    <w:p w:rsidR="002A7B15" w:rsidRPr="004149D1" w:rsidRDefault="009F49A2" w:rsidP="002A7B15">
      <w:pPr>
        <w:pStyle w:val="ListParagraph"/>
        <w:numPr>
          <w:ilvl w:val="0"/>
          <w:numId w:val="0"/>
        </w:numPr>
        <w:spacing w:after="0"/>
        <w:ind w:left="360"/>
        <w:rPr>
          <w:rFonts w:cs="Arial"/>
          <w:b/>
          <w:color w:val="auto"/>
        </w:rPr>
      </w:pPr>
      <w:r w:rsidRPr="004149D1">
        <w:rPr>
          <w:rFonts w:cs="Arial"/>
          <w:b/>
          <w:color w:val="auto"/>
        </w:rPr>
        <w:t xml:space="preserve">Table One: </w:t>
      </w:r>
      <w:r w:rsidR="0071687E" w:rsidRPr="004149D1">
        <w:rPr>
          <w:rFonts w:cs="Arial"/>
          <w:b/>
          <w:color w:val="auto"/>
        </w:rPr>
        <w:t xml:space="preserve">Financial Appraisal of </w:t>
      </w:r>
      <w:r w:rsidR="00EB0BC7">
        <w:rPr>
          <w:rFonts w:cs="Arial"/>
          <w:b/>
          <w:color w:val="auto"/>
        </w:rPr>
        <w:t>Options:</w:t>
      </w:r>
    </w:p>
    <w:p w:rsidR="00C44F4D" w:rsidRPr="004149D1" w:rsidRDefault="00C44F4D" w:rsidP="00475C09">
      <w:pPr>
        <w:pStyle w:val="ListParagraph"/>
        <w:numPr>
          <w:ilvl w:val="0"/>
          <w:numId w:val="0"/>
        </w:numPr>
        <w:spacing w:after="0"/>
        <w:ind w:left="360"/>
        <w:rPr>
          <w:rFonts w:cs="Arial"/>
          <w:color w:val="1F497D" w:themeColor="text2"/>
        </w:rPr>
      </w:pPr>
    </w:p>
    <w:tbl>
      <w:tblPr>
        <w:tblW w:w="8804" w:type="dxa"/>
        <w:tblInd w:w="93" w:type="dxa"/>
        <w:tblLayout w:type="fixed"/>
        <w:tblLook w:val="04A0" w:firstRow="1" w:lastRow="0" w:firstColumn="1" w:lastColumn="0" w:noHBand="0" w:noVBand="1"/>
      </w:tblPr>
      <w:tblGrid>
        <w:gridCol w:w="984"/>
        <w:gridCol w:w="2150"/>
        <w:gridCol w:w="945"/>
        <w:gridCol w:w="945"/>
        <w:gridCol w:w="945"/>
        <w:gridCol w:w="945"/>
        <w:gridCol w:w="945"/>
        <w:gridCol w:w="945"/>
      </w:tblGrid>
      <w:tr w:rsidR="00527AE7" w:rsidRPr="004149D1" w:rsidTr="00EB0BC7">
        <w:trPr>
          <w:trHeight w:val="300"/>
        </w:trPr>
        <w:tc>
          <w:tcPr>
            <w:tcW w:w="984"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150"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835" w:type="dxa"/>
            <w:gridSpan w:val="3"/>
            <w:tcBorders>
              <w:top w:val="nil"/>
              <w:left w:val="nil"/>
              <w:bottom w:val="nil"/>
              <w:right w:val="nil"/>
            </w:tcBorders>
            <w:shd w:val="clear" w:color="auto" w:fill="auto"/>
            <w:noWrap/>
            <w:vAlign w:val="bottom"/>
            <w:hideMark/>
          </w:tcPr>
          <w:p w:rsidR="00527AE7" w:rsidRPr="00EB0BC7" w:rsidRDefault="00EB0BC7" w:rsidP="00EB0BC7">
            <w:pPr>
              <w:spacing w:after="0"/>
              <w:jc w:val="center"/>
              <w:rPr>
                <w:rFonts w:ascii="Calibri" w:hAnsi="Calibri"/>
                <w:b/>
                <w:i/>
                <w:sz w:val="22"/>
                <w:szCs w:val="22"/>
              </w:rPr>
            </w:pPr>
            <w:r w:rsidRPr="00EB0BC7">
              <w:rPr>
                <w:rFonts w:ascii="Calibri" w:hAnsi="Calibri"/>
                <w:b/>
                <w:i/>
                <w:sz w:val="22"/>
                <w:szCs w:val="22"/>
              </w:rPr>
              <w:t>£ 000</w:t>
            </w:r>
          </w:p>
        </w:tc>
        <w:tc>
          <w:tcPr>
            <w:tcW w:w="2835" w:type="dxa"/>
            <w:gridSpan w:val="3"/>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Revenue</w:t>
            </w:r>
          </w:p>
        </w:tc>
      </w:tr>
      <w:tr w:rsidR="00527AE7" w:rsidRPr="004149D1" w:rsidTr="00EB0BC7">
        <w:trPr>
          <w:trHeight w:val="315"/>
        </w:trPr>
        <w:tc>
          <w:tcPr>
            <w:tcW w:w="984"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150"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945" w:type="dxa"/>
            <w:tcBorders>
              <w:top w:val="nil"/>
              <w:left w:val="nil"/>
              <w:bottom w:val="nil"/>
              <w:right w:val="nil"/>
            </w:tcBorders>
            <w:shd w:val="clear" w:color="000000" w:fill="DCE6F1"/>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Capital</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Y1</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Y2</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Y3</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Y4</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Y5</w:t>
            </w:r>
          </w:p>
        </w:tc>
      </w:tr>
      <w:tr w:rsidR="00527AE7" w:rsidRPr="004149D1" w:rsidTr="00EB0BC7">
        <w:trPr>
          <w:trHeight w:val="315"/>
        </w:trPr>
        <w:tc>
          <w:tcPr>
            <w:tcW w:w="984" w:type="dxa"/>
            <w:vMerge w:val="restart"/>
            <w:tcBorders>
              <w:top w:val="nil"/>
              <w:left w:val="nil"/>
              <w:bottom w:val="nil"/>
              <w:right w:val="single" w:sz="8" w:space="0" w:color="auto"/>
            </w:tcBorders>
            <w:shd w:val="clear" w:color="000000" w:fill="EBF1DE"/>
            <w:vAlign w:val="bottom"/>
            <w:hideMark/>
          </w:tcPr>
          <w:p w:rsidR="00527AE7" w:rsidRPr="004149D1" w:rsidRDefault="00EB0BC7" w:rsidP="00EB0BC7">
            <w:pPr>
              <w:spacing w:after="0"/>
              <w:jc w:val="center"/>
              <w:rPr>
                <w:rFonts w:ascii="Calibri" w:hAnsi="Calibri"/>
                <w:sz w:val="22"/>
                <w:szCs w:val="22"/>
              </w:rPr>
            </w:pPr>
            <w:r>
              <w:rPr>
                <w:rFonts w:ascii="Calibri" w:hAnsi="Calibri"/>
                <w:sz w:val="22"/>
                <w:szCs w:val="22"/>
              </w:rPr>
              <w:t>Option</w:t>
            </w:r>
            <w:r w:rsidR="00527AE7" w:rsidRPr="004149D1">
              <w:rPr>
                <w:rFonts w:ascii="Calibri" w:hAnsi="Calibri"/>
                <w:sz w:val="22"/>
                <w:szCs w:val="22"/>
              </w:rPr>
              <w:t xml:space="preserve"> A: Three Wings</w:t>
            </w:r>
          </w:p>
        </w:tc>
        <w:tc>
          <w:tcPr>
            <w:tcW w:w="2150" w:type="dxa"/>
            <w:tcBorders>
              <w:top w:val="single" w:sz="8" w:space="0" w:color="auto"/>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sz w:val="22"/>
                <w:szCs w:val="22"/>
              </w:rPr>
            </w:pPr>
            <w:r w:rsidRPr="004149D1">
              <w:rPr>
                <w:rFonts w:ascii="Calibri" w:hAnsi="Calibri"/>
                <w:sz w:val="22"/>
                <w:szCs w:val="22"/>
              </w:rPr>
              <w:t>Total Costs</w:t>
            </w:r>
          </w:p>
        </w:tc>
        <w:tc>
          <w:tcPr>
            <w:tcW w:w="945" w:type="dxa"/>
            <w:tcBorders>
              <w:top w:val="single" w:sz="8" w:space="0" w:color="auto"/>
              <w:left w:val="nil"/>
              <w:bottom w:val="single" w:sz="8" w:space="0" w:color="auto"/>
              <w:right w:val="single" w:sz="8" w:space="0" w:color="auto"/>
            </w:tcBorders>
            <w:shd w:val="clear" w:color="000000" w:fill="DCE6F1"/>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w:t>
            </w:r>
            <w:r w:rsidR="00207B5F">
              <w:rPr>
                <w:rFonts w:ascii="Calibri" w:hAnsi="Calibri"/>
                <w:sz w:val="22"/>
                <w:szCs w:val="22"/>
              </w:rPr>
              <w:t>892</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106</w:t>
            </w:r>
            <w:r w:rsidR="00527AE7" w:rsidRPr="00207B5F">
              <w:rPr>
                <w:rFonts w:ascii="Calibri" w:hAnsi="Calibri"/>
                <w:bCs/>
                <w:sz w:val="22"/>
                <w:szCs w:val="22"/>
              </w:rPr>
              <w:t>9</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3552B7">
            <w:pPr>
              <w:spacing w:after="0"/>
              <w:jc w:val="center"/>
              <w:rPr>
                <w:rFonts w:ascii="Calibri" w:hAnsi="Calibri"/>
                <w:bCs/>
                <w:sz w:val="22"/>
                <w:szCs w:val="22"/>
              </w:rPr>
            </w:pPr>
            <w:r w:rsidRPr="00207B5F">
              <w:rPr>
                <w:rFonts w:ascii="Calibri" w:hAnsi="Calibri"/>
                <w:bCs/>
                <w:sz w:val="22"/>
                <w:szCs w:val="22"/>
              </w:rPr>
              <w:t>150</w:t>
            </w:r>
            <w:r w:rsidR="00527AE7" w:rsidRPr="00207B5F">
              <w:rPr>
                <w:rFonts w:ascii="Calibri" w:hAnsi="Calibri"/>
                <w:bCs/>
                <w:sz w:val="22"/>
                <w:szCs w:val="22"/>
              </w:rPr>
              <w:t>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150</w:t>
            </w:r>
            <w:r w:rsidR="00527AE7" w:rsidRPr="00207B5F">
              <w:rPr>
                <w:rFonts w:ascii="Calibri" w:hAnsi="Calibri"/>
                <w:bCs/>
                <w:sz w:val="22"/>
                <w:szCs w:val="22"/>
              </w:rPr>
              <w:t>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150</w:t>
            </w:r>
            <w:r w:rsidR="00527AE7" w:rsidRPr="00207B5F">
              <w:rPr>
                <w:rFonts w:ascii="Calibri" w:hAnsi="Calibri"/>
                <w:bCs/>
                <w:sz w:val="22"/>
                <w:szCs w:val="22"/>
              </w:rPr>
              <w:t>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150</w:t>
            </w:r>
            <w:r w:rsidR="00527AE7" w:rsidRPr="00207B5F">
              <w:rPr>
                <w:rFonts w:ascii="Calibri" w:hAnsi="Calibri"/>
                <w:bCs/>
                <w:sz w:val="22"/>
                <w:szCs w:val="22"/>
              </w:rPr>
              <w:t>0</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sz w:val="22"/>
                <w:szCs w:val="22"/>
              </w:rPr>
            </w:pPr>
            <w:r w:rsidRPr="004149D1">
              <w:rPr>
                <w:rFonts w:ascii="Calibri" w:hAnsi="Calibri"/>
                <w:sz w:val="22"/>
                <w:szCs w:val="22"/>
              </w:rPr>
              <w:t>Total Income</w:t>
            </w:r>
          </w:p>
        </w:tc>
        <w:tc>
          <w:tcPr>
            <w:tcW w:w="945" w:type="dxa"/>
            <w:tcBorders>
              <w:top w:val="nil"/>
              <w:left w:val="nil"/>
              <w:bottom w:val="single" w:sz="8" w:space="0" w:color="auto"/>
              <w:right w:val="single" w:sz="8" w:space="0" w:color="auto"/>
            </w:tcBorders>
            <w:shd w:val="clear" w:color="000000" w:fill="DCE6F1"/>
            <w:vAlign w:val="center"/>
            <w:hideMark/>
          </w:tcPr>
          <w:p w:rsidR="00527AE7" w:rsidRPr="004149D1" w:rsidRDefault="00207B5F" w:rsidP="00EB0BC7">
            <w:pPr>
              <w:spacing w:after="0"/>
              <w:jc w:val="center"/>
              <w:rPr>
                <w:rFonts w:ascii="Calibri" w:hAnsi="Calibri"/>
                <w:sz w:val="22"/>
                <w:szCs w:val="22"/>
              </w:rPr>
            </w:pPr>
            <w:r>
              <w:rPr>
                <w:rFonts w:ascii="Calibri" w:hAnsi="Calibri"/>
                <w:sz w:val="22"/>
                <w:szCs w:val="22"/>
              </w:rPr>
              <w:t>9</w:t>
            </w:r>
            <w:r w:rsidR="00EB0BC7">
              <w:rPr>
                <w:rFonts w:ascii="Calibri" w:hAnsi="Calibri"/>
                <w:sz w:val="22"/>
                <w:szCs w:val="22"/>
              </w:rPr>
              <w:t>34</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106</w:t>
            </w:r>
            <w:r w:rsidR="00527AE7" w:rsidRPr="00207B5F">
              <w:rPr>
                <w:rFonts w:ascii="Calibri" w:hAnsi="Calibri"/>
                <w:bCs/>
                <w:sz w:val="22"/>
                <w:szCs w:val="22"/>
              </w:rPr>
              <w:t>9</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9</w:t>
            </w:r>
            <w:r w:rsidR="003552B7" w:rsidRPr="00207B5F">
              <w:rPr>
                <w:rFonts w:ascii="Calibri" w:hAnsi="Calibri"/>
                <w:bCs/>
                <w:sz w:val="22"/>
                <w:szCs w:val="22"/>
              </w:rPr>
              <w:t>03</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726</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726</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726</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A6A6A6"/>
            <w:noWrap/>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Gap</w:t>
            </w:r>
          </w:p>
        </w:tc>
        <w:tc>
          <w:tcPr>
            <w:tcW w:w="945" w:type="dxa"/>
            <w:tcBorders>
              <w:top w:val="nil"/>
              <w:left w:val="nil"/>
              <w:bottom w:val="single" w:sz="8" w:space="0" w:color="auto"/>
              <w:right w:val="nil"/>
            </w:tcBorders>
            <w:shd w:val="clear" w:color="000000" w:fill="DCE6F1"/>
            <w:noWrap/>
            <w:vAlign w:val="center"/>
            <w:hideMark/>
          </w:tcPr>
          <w:p w:rsidR="00527AE7" w:rsidRPr="004149D1" w:rsidRDefault="00207B5F" w:rsidP="00EB0BC7">
            <w:pPr>
              <w:spacing w:after="0"/>
              <w:jc w:val="center"/>
              <w:rPr>
                <w:rFonts w:ascii="Calibri" w:hAnsi="Calibri"/>
                <w:b/>
                <w:bCs/>
                <w:sz w:val="22"/>
                <w:szCs w:val="22"/>
              </w:rPr>
            </w:pPr>
            <w:r>
              <w:rPr>
                <w:rFonts w:ascii="Calibri" w:hAnsi="Calibri"/>
                <w:b/>
                <w:bCs/>
                <w:sz w:val="22"/>
                <w:szCs w:val="22"/>
              </w:rPr>
              <w:t>9</w:t>
            </w:r>
            <w:r w:rsidR="00EB0BC7">
              <w:rPr>
                <w:rFonts w:ascii="Calibri" w:hAnsi="Calibri"/>
                <w:b/>
                <w:bCs/>
                <w:sz w:val="22"/>
                <w:szCs w:val="22"/>
              </w:rPr>
              <w:t>58</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0</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3552B7" w:rsidP="00527AE7">
            <w:pPr>
              <w:spacing w:after="0"/>
              <w:jc w:val="center"/>
              <w:rPr>
                <w:rFonts w:ascii="Calibri" w:hAnsi="Calibri"/>
                <w:b/>
                <w:bCs/>
                <w:sz w:val="22"/>
                <w:szCs w:val="22"/>
              </w:rPr>
            </w:pPr>
            <w:r>
              <w:rPr>
                <w:rFonts w:ascii="Calibri" w:hAnsi="Calibri"/>
                <w:b/>
                <w:bCs/>
                <w:sz w:val="22"/>
                <w:szCs w:val="22"/>
              </w:rPr>
              <w:t>597</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3552B7" w:rsidP="00527AE7">
            <w:pPr>
              <w:spacing w:after="0"/>
              <w:jc w:val="center"/>
              <w:rPr>
                <w:rFonts w:ascii="Calibri" w:hAnsi="Calibri"/>
                <w:b/>
                <w:bCs/>
                <w:sz w:val="22"/>
                <w:szCs w:val="22"/>
              </w:rPr>
            </w:pPr>
            <w:r>
              <w:rPr>
                <w:rFonts w:ascii="Calibri" w:hAnsi="Calibri"/>
                <w:b/>
                <w:bCs/>
                <w:sz w:val="22"/>
                <w:szCs w:val="22"/>
              </w:rPr>
              <w:t>77</w:t>
            </w:r>
            <w:r w:rsidR="00527AE7" w:rsidRPr="004149D1">
              <w:rPr>
                <w:rFonts w:ascii="Calibri" w:hAnsi="Calibri"/>
                <w:b/>
                <w:bCs/>
                <w:sz w:val="22"/>
                <w:szCs w:val="22"/>
              </w:rPr>
              <w:t>4</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3552B7" w:rsidP="00527AE7">
            <w:pPr>
              <w:spacing w:after="0"/>
              <w:jc w:val="center"/>
              <w:rPr>
                <w:rFonts w:ascii="Calibri" w:hAnsi="Calibri"/>
                <w:b/>
                <w:bCs/>
                <w:sz w:val="22"/>
                <w:szCs w:val="22"/>
              </w:rPr>
            </w:pPr>
            <w:r>
              <w:rPr>
                <w:rFonts w:ascii="Calibri" w:hAnsi="Calibri"/>
                <w:b/>
                <w:bCs/>
                <w:sz w:val="22"/>
                <w:szCs w:val="22"/>
              </w:rPr>
              <w:t>77</w:t>
            </w:r>
            <w:r w:rsidR="00527AE7" w:rsidRPr="004149D1">
              <w:rPr>
                <w:rFonts w:ascii="Calibri" w:hAnsi="Calibri"/>
                <w:b/>
                <w:bCs/>
                <w:sz w:val="22"/>
                <w:szCs w:val="22"/>
              </w:rPr>
              <w:t>4</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3552B7" w:rsidP="00527AE7">
            <w:pPr>
              <w:spacing w:after="0"/>
              <w:jc w:val="center"/>
              <w:rPr>
                <w:rFonts w:ascii="Calibri" w:hAnsi="Calibri"/>
                <w:b/>
                <w:bCs/>
                <w:sz w:val="22"/>
                <w:szCs w:val="22"/>
              </w:rPr>
            </w:pPr>
            <w:r>
              <w:rPr>
                <w:rFonts w:ascii="Calibri" w:hAnsi="Calibri"/>
                <w:b/>
                <w:bCs/>
                <w:sz w:val="22"/>
                <w:szCs w:val="22"/>
              </w:rPr>
              <w:t>77</w:t>
            </w:r>
            <w:r w:rsidR="00527AE7" w:rsidRPr="004149D1">
              <w:rPr>
                <w:rFonts w:ascii="Calibri" w:hAnsi="Calibri"/>
                <w:b/>
                <w:bCs/>
                <w:sz w:val="22"/>
                <w:szCs w:val="22"/>
              </w:rPr>
              <w:t>4</w:t>
            </w:r>
          </w:p>
        </w:tc>
      </w:tr>
      <w:tr w:rsidR="00527AE7" w:rsidRPr="004149D1" w:rsidTr="00EB0BC7">
        <w:trPr>
          <w:trHeight w:val="315"/>
        </w:trPr>
        <w:tc>
          <w:tcPr>
            <w:tcW w:w="984"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150"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945" w:type="dxa"/>
            <w:tcBorders>
              <w:top w:val="nil"/>
              <w:left w:val="nil"/>
              <w:bottom w:val="nil"/>
              <w:right w:val="nil"/>
            </w:tcBorders>
            <w:shd w:val="clear" w:color="000000" w:fill="DCE6F1"/>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 </w:t>
            </w: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r>
      <w:tr w:rsidR="00527AE7" w:rsidRPr="004149D1" w:rsidTr="00EB0BC7">
        <w:trPr>
          <w:trHeight w:val="315"/>
        </w:trPr>
        <w:tc>
          <w:tcPr>
            <w:tcW w:w="984" w:type="dxa"/>
            <w:vMerge w:val="restart"/>
            <w:tcBorders>
              <w:top w:val="nil"/>
              <w:left w:val="nil"/>
              <w:bottom w:val="nil"/>
              <w:right w:val="single" w:sz="8" w:space="0" w:color="auto"/>
            </w:tcBorders>
            <w:shd w:val="clear" w:color="000000" w:fill="EBF1DE"/>
            <w:vAlign w:val="bottom"/>
            <w:hideMark/>
          </w:tcPr>
          <w:p w:rsidR="00527AE7" w:rsidRPr="004149D1" w:rsidRDefault="00EB0BC7" w:rsidP="00527AE7">
            <w:pPr>
              <w:spacing w:after="0"/>
              <w:jc w:val="center"/>
              <w:rPr>
                <w:rFonts w:ascii="Calibri" w:hAnsi="Calibri"/>
                <w:sz w:val="22"/>
                <w:szCs w:val="22"/>
              </w:rPr>
            </w:pPr>
            <w:r>
              <w:rPr>
                <w:rFonts w:ascii="Calibri" w:hAnsi="Calibri"/>
                <w:sz w:val="22"/>
                <w:szCs w:val="22"/>
              </w:rPr>
              <w:t>Option</w:t>
            </w:r>
            <w:r w:rsidR="00527AE7" w:rsidRPr="004149D1">
              <w:rPr>
                <w:rFonts w:ascii="Calibri" w:hAnsi="Calibri"/>
                <w:sz w:val="22"/>
                <w:szCs w:val="22"/>
              </w:rPr>
              <w:t xml:space="preserve"> B: Two Wings</w:t>
            </w:r>
          </w:p>
        </w:tc>
        <w:tc>
          <w:tcPr>
            <w:tcW w:w="2150" w:type="dxa"/>
            <w:tcBorders>
              <w:top w:val="single" w:sz="8" w:space="0" w:color="auto"/>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Costs</w:t>
            </w:r>
          </w:p>
        </w:tc>
        <w:tc>
          <w:tcPr>
            <w:tcW w:w="945" w:type="dxa"/>
            <w:tcBorders>
              <w:top w:val="single" w:sz="8" w:space="0" w:color="auto"/>
              <w:left w:val="nil"/>
              <w:bottom w:val="single" w:sz="8" w:space="0" w:color="auto"/>
              <w:right w:val="single" w:sz="8" w:space="0" w:color="auto"/>
            </w:tcBorders>
            <w:shd w:val="clear" w:color="000000" w:fill="DCE6F1"/>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w:t>
            </w:r>
            <w:r w:rsidR="00207B5F">
              <w:rPr>
                <w:rFonts w:ascii="Calibri" w:hAnsi="Calibri"/>
                <w:bCs/>
                <w:sz w:val="22"/>
                <w:szCs w:val="22"/>
              </w:rPr>
              <w:t>496</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106</w:t>
            </w:r>
            <w:r w:rsidR="00527AE7" w:rsidRPr="00207B5F">
              <w:rPr>
                <w:rFonts w:ascii="Calibri" w:hAnsi="Calibri"/>
                <w:bCs/>
                <w:sz w:val="22"/>
                <w:szCs w:val="22"/>
              </w:rPr>
              <w:t>9</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1280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1280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1280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1280</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Income</w:t>
            </w:r>
          </w:p>
        </w:tc>
        <w:tc>
          <w:tcPr>
            <w:tcW w:w="945" w:type="dxa"/>
            <w:tcBorders>
              <w:top w:val="nil"/>
              <w:left w:val="nil"/>
              <w:bottom w:val="single" w:sz="8" w:space="0" w:color="auto"/>
              <w:right w:val="single" w:sz="8" w:space="0" w:color="auto"/>
            </w:tcBorders>
            <w:shd w:val="clear" w:color="000000" w:fill="DCE6F1"/>
            <w:vAlign w:val="center"/>
            <w:hideMark/>
          </w:tcPr>
          <w:p w:rsidR="00527AE7" w:rsidRPr="00207B5F" w:rsidRDefault="00207B5F" w:rsidP="00527AE7">
            <w:pPr>
              <w:spacing w:after="0"/>
              <w:jc w:val="center"/>
              <w:rPr>
                <w:rFonts w:ascii="Calibri" w:hAnsi="Calibri"/>
                <w:bCs/>
                <w:sz w:val="22"/>
                <w:szCs w:val="22"/>
              </w:rPr>
            </w:pPr>
            <w:r>
              <w:rPr>
                <w:rFonts w:ascii="Calibri" w:hAnsi="Calibri"/>
                <w:bCs/>
                <w:sz w:val="22"/>
                <w:szCs w:val="22"/>
              </w:rPr>
              <w:t>9</w:t>
            </w:r>
            <w:r w:rsidR="00527AE7" w:rsidRPr="00207B5F">
              <w:rPr>
                <w:rFonts w:ascii="Calibri" w:hAnsi="Calibri"/>
                <w:bCs/>
                <w:sz w:val="22"/>
                <w:szCs w:val="22"/>
              </w:rPr>
              <w:t>34</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106</w:t>
            </w:r>
            <w:r w:rsidR="00527AE7" w:rsidRPr="00207B5F">
              <w:rPr>
                <w:rFonts w:ascii="Calibri" w:hAnsi="Calibri"/>
                <w:bCs/>
                <w:sz w:val="22"/>
                <w:szCs w:val="22"/>
              </w:rPr>
              <w:t>9</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655</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478</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478</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478</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A6A6A6"/>
            <w:noWrap/>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Gap</w:t>
            </w:r>
          </w:p>
        </w:tc>
        <w:tc>
          <w:tcPr>
            <w:tcW w:w="945" w:type="dxa"/>
            <w:tcBorders>
              <w:top w:val="nil"/>
              <w:left w:val="nil"/>
              <w:bottom w:val="single" w:sz="8" w:space="0" w:color="auto"/>
              <w:right w:val="single" w:sz="8" w:space="0" w:color="auto"/>
            </w:tcBorders>
            <w:shd w:val="clear" w:color="000000" w:fill="DCE6F1"/>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562</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0</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625</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802</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802</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802</w:t>
            </w:r>
          </w:p>
        </w:tc>
      </w:tr>
      <w:tr w:rsidR="00527AE7" w:rsidRPr="004149D1" w:rsidTr="00EB0BC7">
        <w:trPr>
          <w:trHeight w:val="315"/>
        </w:trPr>
        <w:tc>
          <w:tcPr>
            <w:tcW w:w="984"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150"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945" w:type="dxa"/>
            <w:tcBorders>
              <w:top w:val="nil"/>
              <w:left w:val="nil"/>
              <w:bottom w:val="nil"/>
              <w:right w:val="nil"/>
            </w:tcBorders>
            <w:shd w:val="clear" w:color="000000" w:fill="DCE6F1"/>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 </w:t>
            </w: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r>
      <w:tr w:rsidR="00527AE7" w:rsidRPr="004149D1" w:rsidTr="00EB0BC7">
        <w:trPr>
          <w:trHeight w:val="315"/>
        </w:trPr>
        <w:tc>
          <w:tcPr>
            <w:tcW w:w="984" w:type="dxa"/>
            <w:vMerge w:val="restart"/>
            <w:tcBorders>
              <w:top w:val="nil"/>
              <w:left w:val="nil"/>
              <w:bottom w:val="nil"/>
              <w:right w:val="single" w:sz="8" w:space="0" w:color="auto"/>
            </w:tcBorders>
            <w:shd w:val="clear" w:color="000000" w:fill="EBF1DE"/>
            <w:vAlign w:val="bottom"/>
            <w:hideMark/>
          </w:tcPr>
          <w:p w:rsidR="00527AE7" w:rsidRPr="004149D1" w:rsidRDefault="00EB0BC7" w:rsidP="00527AE7">
            <w:pPr>
              <w:spacing w:after="0"/>
              <w:jc w:val="center"/>
              <w:rPr>
                <w:rFonts w:ascii="Calibri" w:hAnsi="Calibri"/>
                <w:sz w:val="22"/>
                <w:szCs w:val="22"/>
              </w:rPr>
            </w:pPr>
            <w:r>
              <w:rPr>
                <w:rFonts w:ascii="Calibri" w:hAnsi="Calibri"/>
                <w:sz w:val="22"/>
                <w:szCs w:val="22"/>
              </w:rPr>
              <w:t>Option</w:t>
            </w:r>
            <w:r w:rsidR="00527AE7" w:rsidRPr="004149D1">
              <w:rPr>
                <w:rFonts w:ascii="Calibri" w:hAnsi="Calibri"/>
                <w:sz w:val="22"/>
                <w:szCs w:val="22"/>
              </w:rPr>
              <w:t xml:space="preserve"> C: One Wing</w:t>
            </w:r>
          </w:p>
        </w:tc>
        <w:tc>
          <w:tcPr>
            <w:tcW w:w="2150" w:type="dxa"/>
            <w:tcBorders>
              <w:top w:val="single" w:sz="8" w:space="0" w:color="auto"/>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Costs</w:t>
            </w:r>
          </w:p>
        </w:tc>
        <w:tc>
          <w:tcPr>
            <w:tcW w:w="945" w:type="dxa"/>
            <w:tcBorders>
              <w:top w:val="single" w:sz="8" w:space="0" w:color="auto"/>
              <w:left w:val="nil"/>
              <w:bottom w:val="single" w:sz="8" w:space="0" w:color="auto"/>
              <w:right w:val="single" w:sz="8" w:space="0" w:color="auto"/>
            </w:tcBorders>
            <w:shd w:val="clear" w:color="000000" w:fill="DCE6F1"/>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w:t>
            </w:r>
            <w:r w:rsidR="00207B5F">
              <w:rPr>
                <w:rFonts w:ascii="Calibri" w:hAnsi="Calibri"/>
                <w:bCs/>
                <w:sz w:val="22"/>
                <w:szCs w:val="22"/>
              </w:rPr>
              <w:t>131</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3552B7" w:rsidP="00527AE7">
            <w:pPr>
              <w:spacing w:after="0"/>
              <w:jc w:val="center"/>
              <w:rPr>
                <w:rFonts w:ascii="Calibri" w:hAnsi="Calibri"/>
                <w:sz w:val="22"/>
                <w:szCs w:val="22"/>
              </w:rPr>
            </w:pPr>
            <w:r>
              <w:rPr>
                <w:rFonts w:ascii="Calibri" w:hAnsi="Calibri"/>
                <w:sz w:val="22"/>
                <w:szCs w:val="22"/>
              </w:rPr>
              <w:t>106</w:t>
            </w:r>
            <w:r w:rsidR="00527AE7" w:rsidRPr="004149D1">
              <w:rPr>
                <w:rFonts w:ascii="Calibri" w:hAnsi="Calibri"/>
                <w:sz w:val="22"/>
                <w:szCs w:val="22"/>
              </w:rPr>
              <w:t>9</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1180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1180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1180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1180</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Income</w:t>
            </w:r>
          </w:p>
        </w:tc>
        <w:tc>
          <w:tcPr>
            <w:tcW w:w="945" w:type="dxa"/>
            <w:tcBorders>
              <w:top w:val="nil"/>
              <w:left w:val="nil"/>
              <w:bottom w:val="single" w:sz="8" w:space="0" w:color="auto"/>
              <w:right w:val="single" w:sz="8" w:space="0" w:color="auto"/>
            </w:tcBorders>
            <w:shd w:val="clear" w:color="000000" w:fill="DCE6F1"/>
            <w:vAlign w:val="center"/>
            <w:hideMark/>
          </w:tcPr>
          <w:p w:rsidR="00527AE7" w:rsidRPr="00207B5F" w:rsidRDefault="00207B5F" w:rsidP="00527AE7">
            <w:pPr>
              <w:spacing w:after="0"/>
              <w:jc w:val="center"/>
              <w:rPr>
                <w:rFonts w:ascii="Calibri" w:hAnsi="Calibri"/>
                <w:bCs/>
                <w:sz w:val="22"/>
                <w:szCs w:val="22"/>
              </w:rPr>
            </w:pPr>
            <w:r>
              <w:rPr>
                <w:rFonts w:ascii="Calibri" w:hAnsi="Calibri"/>
                <w:bCs/>
                <w:sz w:val="22"/>
                <w:szCs w:val="22"/>
              </w:rPr>
              <w:t>934</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3552B7" w:rsidP="00527AE7">
            <w:pPr>
              <w:spacing w:after="0"/>
              <w:jc w:val="center"/>
              <w:rPr>
                <w:rFonts w:ascii="Calibri" w:hAnsi="Calibri"/>
                <w:sz w:val="22"/>
                <w:szCs w:val="22"/>
              </w:rPr>
            </w:pPr>
            <w:r>
              <w:rPr>
                <w:rFonts w:ascii="Calibri" w:hAnsi="Calibri"/>
                <w:sz w:val="22"/>
                <w:szCs w:val="22"/>
              </w:rPr>
              <w:t>106</w:t>
            </w:r>
            <w:r w:rsidR="00527AE7" w:rsidRPr="004149D1">
              <w:rPr>
                <w:rFonts w:ascii="Calibri" w:hAnsi="Calibri"/>
                <w:sz w:val="22"/>
                <w:szCs w:val="22"/>
              </w:rPr>
              <w:t>9</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EB0BC7" w:rsidP="00EB0BC7">
            <w:pPr>
              <w:spacing w:after="0"/>
              <w:jc w:val="center"/>
              <w:rPr>
                <w:rFonts w:ascii="Calibri" w:hAnsi="Calibri"/>
                <w:sz w:val="22"/>
                <w:szCs w:val="22"/>
              </w:rPr>
            </w:pPr>
            <w:r>
              <w:rPr>
                <w:rFonts w:ascii="Calibri" w:hAnsi="Calibri"/>
                <w:sz w:val="22"/>
                <w:szCs w:val="22"/>
              </w:rPr>
              <w:t>572</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EB0BC7" w:rsidP="00527AE7">
            <w:pPr>
              <w:spacing w:after="0"/>
              <w:jc w:val="center"/>
              <w:rPr>
                <w:rFonts w:ascii="Calibri" w:hAnsi="Calibri"/>
                <w:sz w:val="22"/>
                <w:szCs w:val="22"/>
              </w:rPr>
            </w:pPr>
            <w:r>
              <w:rPr>
                <w:rFonts w:ascii="Calibri" w:hAnsi="Calibri"/>
                <w:sz w:val="22"/>
                <w:szCs w:val="22"/>
              </w:rPr>
              <w:t>395</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EB0BC7" w:rsidP="00527AE7">
            <w:pPr>
              <w:spacing w:after="0"/>
              <w:jc w:val="center"/>
              <w:rPr>
                <w:rFonts w:ascii="Calibri" w:hAnsi="Calibri"/>
                <w:sz w:val="22"/>
                <w:szCs w:val="22"/>
              </w:rPr>
            </w:pPr>
            <w:r>
              <w:rPr>
                <w:rFonts w:ascii="Calibri" w:hAnsi="Calibri"/>
                <w:sz w:val="22"/>
                <w:szCs w:val="22"/>
              </w:rPr>
              <w:t>395</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EB0BC7" w:rsidP="00527AE7">
            <w:pPr>
              <w:spacing w:after="0"/>
              <w:jc w:val="center"/>
              <w:rPr>
                <w:rFonts w:ascii="Calibri" w:hAnsi="Calibri"/>
                <w:sz w:val="22"/>
                <w:szCs w:val="22"/>
              </w:rPr>
            </w:pPr>
            <w:r>
              <w:rPr>
                <w:rFonts w:ascii="Calibri" w:hAnsi="Calibri"/>
                <w:sz w:val="22"/>
                <w:szCs w:val="22"/>
              </w:rPr>
              <w:t>395</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A6A6A6"/>
            <w:noWrap/>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Gap</w:t>
            </w:r>
          </w:p>
        </w:tc>
        <w:tc>
          <w:tcPr>
            <w:tcW w:w="945" w:type="dxa"/>
            <w:tcBorders>
              <w:top w:val="nil"/>
              <w:left w:val="nil"/>
              <w:bottom w:val="single" w:sz="8" w:space="0" w:color="auto"/>
              <w:right w:val="single" w:sz="8" w:space="0" w:color="auto"/>
            </w:tcBorders>
            <w:shd w:val="clear" w:color="000000" w:fill="DCE6F1"/>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197</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0</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EB0BC7" w:rsidRDefault="00EB0BC7" w:rsidP="00527AE7">
            <w:pPr>
              <w:spacing w:after="0"/>
              <w:jc w:val="center"/>
              <w:rPr>
                <w:rFonts w:ascii="Calibri" w:hAnsi="Calibri"/>
                <w:b/>
                <w:bCs/>
                <w:color w:val="auto"/>
                <w:sz w:val="22"/>
                <w:szCs w:val="22"/>
              </w:rPr>
            </w:pPr>
            <w:r w:rsidRPr="00EB0BC7">
              <w:rPr>
                <w:rFonts w:ascii="Calibri" w:hAnsi="Calibri"/>
                <w:b/>
                <w:bCs/>
                <w:color w:val="auto"/>
                <w:sz w:val="22"/>
                <w:szCs w:val="22"/>
              </w:rPr>
              <w:t>608</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EB0BC7" w:rsidRDefault="00207B5F" w:rsidP="00EB0BC7">
            <w:pPr>
              <w:spacing w:after="0"/>
              <w:jc w:val="center"/>
              <w:rPr>
                <w:rFonts w:ascii="Calibri" w:hAnsi="Calibri"/>
                <w:b/>
                <w:bCs/>
                <w:color w:val="auto"/>
                <w:sz w:val="22"/>
                <w:szCs w:val="22"/>
              </w:rPr>
            </w:pPr>
            <w:r w:rsidRPr="00EB0BC7">
              <w:rPr>
                <w:rFonts w:ascii="Calibri" w:hAnsi="Calibri"/>
                <w:b/>
                <w:bCs/>
                <w:color w:val="auto"/>
                <w:sz w:val="22"/>
                <w:szCs w:val="22"/>
              </w:rPr>
              <w:t>7</w:t>
            </w:r>
            <w:r w:rsidR="00EB0BC7" w:rsidRPr="00EB0BC7">
              <w:rPr>
                <w:rFonts w:ascii="Calibri" w:hAnsi="Calibri"/>
                <w:b/>
                <w:bCs/>
                <w:color w:val="auto"/>
                <w:sz w:val="22"/>
                <w:szCs w:val="22"/>
              </w:rPr>
              <w:t>85</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EB0BC7" w:rsidRDefault="00207B5F" w:rsidP="00EB0BC7">
            <w:pPr>
              <w:spacing w:after="0"/>
              <w:jc w:val="center"/>
              <w:rPr>
                <w:rFonts w:ascii="Calibri" w:hAnsi="Calibri"/>
                <w:b/>
                <w:bCs/>
                <w:color w:val="auto"/>
                <w:sz w:val="22"/>
                <w:szCs w:val="22"/>
              </w:rPr>
            </w:pPr>
            <w:r w:rsidRPr="00EB0BC7">
              <w:rPr>
                <w:rFonts w:ascii="Calibri" w:hAnsi="Calibri"/>
                <w:b/>
                <w:bCs/>
                <w:color w:val="auto"/>
                <w:sz w:val="22"/>
                <w:szCs w:val="22"/>
              </w:rPr>
              <w:t>7</w:t>
            </w:r>
            <w:r w:rsidR="00EB0BC7" w:rsidRPr="00EB0BC7">
              <w:rPr>
                <w:rFonts w:ascii="Calibri" w:hAnsi="Calibri"/>
                <w:b/>
                <w:bCs/>
                <w:color w:val="auto"/>
                <w:sz w:val="22"/>
                <w:szCs w:val="22"/>
              </w:rPr>
              <w:t>8</w:t>
            </w:r>
            <w:r w:rsidR="00527AE7" w:rsidRPr="00EB0BC7">
              <w:rPr>
                <w:rFonts w:ascii="Calibri" w:hAnsi="Calibri"/>
                <w:b/>
                <w:bCs/>
                <w:color w:val="auto"/>
                <w:sz w:val="22"/>
                <w:szCs w:val="22"/>
              </w:rPr>
              <w:t>5</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EB0BC7" w:rsidRDefault="00207B5F" w:rsidP="00EB0BC7">
            <w:pPr>
              <w:spacing w:after="0"/>
              <w:jc w:val="center"/>
              <w:rPr>
                <w:rFonts w:ascii="Calibri" w:hAnsi="Calibri"/>
                <w:b/>
                <w:bCs/>
                <w:color w:val="auto"/>
                <w:sz w:val="22"/>
                <w:szCs w:val="22"/>
              </w:rPr>
            </w:pPr>
            <w:r w:rsidRPr="00EB0BC7">
              <w:rPr>
                <w:rFonts w:ascii="Calibri" w:hAnsi="Calibri"/>
                <w:b/>
                <w:bCs/>
                <w:color w:val="auto"/>
                <w:sz w:val="22"/>
                <w:szCs w:val="22"/>
              </w:rPr>
              <w:t>7</w:t>
            </w:r>
            <w:r w:rsidR="00EB0BC7" w:rsidRPr="00EB0BC7">
              <w:rPr>
                <w:rFonts w:ascii="Calibri" w:hAnsi="Calibri"/>
                <w:b/>
                <w:bCs/>
                <w:color w:val="auto"/>
                <w:sz w:val="22"/>
                <w:szCs w:val="22"/>
              </w:rPr>
              <w:t>8</w:t>
            </w:r>
            <w:r w:rsidR="00527AE7" w:rsidRPr="00EB0BC7">
              <w:rPr>
                <w:rFonts w:ascii="Calibri" w:hAnsi="Calibri"/>
                <w:b/>
                <w:bCs/>
                <w:color w:val="auto"/>
                <w:sz w:val="22"/>
                <w:szCs w:val="22"/>
              </w:rPr>
              <w:t>5</w:t>
            </w:r>
          </w:p>
        </w:tc>
      </w:tr>
    </w:tbl>
    <w:p w:rsidR="00527AE7" w:rsidRPr="004149D1" w:rsidRDefault="00527AE7" w:rsidP="00475C09">
      <w:pPr>
        <w:pStyle w:val="ListParagraph"/>
        <w:numPr>
          <w:ilvl w:val="0"/>
          <w:numId w:val="0"/>
        </w:numPr>
        <w:spacing w:after="0"/>
        <w:ind w:left="360"/>
        <w:rPr>
          <w:rFonts w:cs="Arial"/>
          <w:color w:val="1F497D" w:themeColor="text2"/>
        </w:rPr>
      </w:pPr>
    </w:p>
    <w:p w:rsidR="00C44F4D" w:rsidRPr="00E3780B" w:rsidRDefault="00C44F4D" w:rsidP="00475C09">
      <w:pPr>
        <w:pStyle w:val="ListParagraph"/>
        <w:numPr>
          <w:ilvl w:val="0"/>
          <w:numId w:val="0"/>
        </w:numPr>
        <w:spacing w:after="0"/>
        <w:ind w:left="360"/>
        <w:rPr>
          <w:rFonts w:cs="Arial"/>
          <w:color w:val="auto"/>
        </w:rPr>
      </w:pPr>
    </w:p>
    <w:p w:rsidR="002917E1" w:rsidRDefault="00EB0BC7" w:rsidP="00E3780B">
      <w:pPr>
        <w:pStyle w:val="ListParagraph"/>
        <w:numPr>
          <w:ilvl w:val="0"/>
          <w:numId w:val="11"/>
        </w:numPr>
        <w:spacing w:after="0"/>
        <w:rPr>
          <w:rFonts w:cs="Arial"/>
          <w:color w:val="auto"/>
        </w:rPr>
      </w:pPr>
      <w:r w:rsidRPr="00E3780B">
        <w:rPr>
          <w:rFonts w:cs="Arial"/>
          <w:color w:val="auto"/>
        </w:rPr>
        <w:t>Option</w:t>
      </w:r>
      <w:r w:rsidR="00527AE7" w:rsidRPr="00E3780B">
        <w:rPr>
          <w:rFonts w:cs="Arial"/>
          <w:color w:val="auto"/>
        </w:rPr>
        <w:t xml:space="preserve"> </w:t>
      </w:r>
      <w:proofErr w:type="gramStart"/>
      <w:r w:rsidR="00527AE7" w:rsidRPr="00E3780B">
        <w:rPr>
          <w:rFonts w:cs="Arial"/>
          <w:color w:val="auto"/>
        </w:rPr>
        <w:t>A</w:t>
      </w:r>
      <w:proofErr w:type="gramEnd"/>
      <w:r w:rsidR="00527AE7" w:rsidRPr="00E3780B">
        <w:rPr>
          <w:rFonts w:cs="Arial"/>
          <w:color w:val="auto"/>
        </w:rPr>
        <w:t xml:space="preserve"> represents the best value for money in terms of revenue spend. </w:t>
      </w:r>
      <w:r w:rsidR="00E3780B" w:rsidRPr="00E3780B">
        <w:rPr>
          <w:rFonts w:cs="Arial"/>
          <w:color w:val="auto"/>
        </w:rPr>
        <w:t xml:space="preserve"> </w:t>
      </w:r>
      <w:r w:rsidRPr="00E3780B">
        <w:rPr>
          <w:rFonts w:cs="Arial"/>
          <w:color w:val="auto"/>
        </w:rPr>
        <w:t xml:space="preserve">Option </w:t>
      </w:r>
      <w:r w:rsidR="00527AE7" w:rsidRPr="00E3780B">
        <w:rPr>
          <w:rFonts w:cs="Arial"/>
          <w:color w:val="auto"/>
        </w:rPr>
        <w:t xml:space="preserve">B leaves a higher </w:t>
      </w:r>
      <w:r w:rsidR="002E17FD" w:rsidRPr="00E3780B">
        <w:rPr>
          <w:rFonts w:cs="Arial"/>
          <w:color w:val="auto"/>
        </w:rPr>
        <w:t xml:space="preserve">revenue </w:t>
      </w:r>
      <w:r w:rsidR="00527AE7" w:rsidRPr="00E3780B">
        <w:rPr>
          <w:rFonts w:cs="Arial"/>
          <w:color w:val="auto"/>
        </w:rPr>
        <w:t xml:space="preserve">gap </w:t>
      </w:r>
      <w:r w:rsidR="002E17FD" w:rsidRPr="00E3780B">
        <w:rPr>
          <w:rFonts w:cs="Arial"/>
          <w:color w:val="auto"/>
        </w:rPr>
        <w:t>whereas</w:t>
      </w:r>
      <w:r w:rsidR="00527AE7" w:rsidRPr="00E3780B">
        <w:rPr>
          <w:rFonts w:cs="Arial"/>
          <w:color w:val="auto"/>
        </w:rPr>
        <w:t xml:space="preserve"> </w:t>
      </w:r>
      <w:r w:rsidR="00E3780B" w:rsidRPr="00E3780B">
        <w:rPr>
          <w:rFonts w:cs="Arial"/>
          <w:color w:val="auto"/>
        </w:rPr>
        <w:t>Option</w:t>
      </w:r>
      <w:r w:rsidR="00527AE7" w:rsidRPr="00E3780B">
        <w:rPr>
          <w:rFonts w:cs="Arial"/>
          <w:color w:val="auto"/>
        </w:rPr>
        <w:t xml:space="preserve"> C leaves a slightly lower gap – but by providing significantly </w:t>
      </w:r>
      <w:r w:rsidR="002E17FD" w:rsidRPr="00E3780B">
        <w:rPr>
          <w:rFonts w:cs="Arial"/>
          <w:color w:val="auto"/>
        </w:rPr>
        <w:t>fewer</w:t>
      </w:r>
      <w:r w:rsidR="00F80467" w:rsidRPr="00E3780B">
        <w:rPr>
          <w:rFonts w:cs="Arial"/>
          <w:color w:val="auto"/>
        </w:rPr>
        <w:t xml:space="preserve"> </w:t>
      </w:r>
      <w:r w:rsidR="00527AE7" w:rsidRPr="00E3780B">
        <w:rPr>
          <w:rFonts w:cs="Arial"/>
          <w:color w:val="auto"/>
        </w:rPr>
        <w:t>services</w:t>
      </w:r>
      <w:r w:rsidR="002E17FD" w:rsidRPr="00E3780B">
        <w:rPr>
          <w:rFonts w:cs="Arial"/>
          <w:color w:val="auto"/>
        </w:rPr>
        <w:t xml:space="preserve"> and accommodation </w:t>
      </w:r>
      <w:r w:rsidR="00F80467" w:rsidRPr="00E3780B">
        <w:rPr>
          <w:rFonts w:cs="Arial"/>
          <w:color w:val="auto"/>
        </w:rPr>
        <w:t>spaces</w:t>
      </w:r>
      <w:r w:rsidR="00E3780B" w:rsidRPr="00E3780B">
        <w:rPr>
          <w:rFonts w:cs="Arial"/>
          <w:color w:val="auto"/>
        </w:rPr>
        <w:t xml:space="preserve">.  </w:t>
      </w:r>
    </w:p>
    <w:p w:rsidR="002917E1" w:rsidRDefault="002917E1" w:rsidP="002917E1">
      <w:pPr>
        <w:pStyle w:val="ListParagraph"/>
        <w:numPr>
          <w:ilvl w:val="0"/>
          <w:numId w:val="0"/>
        </w:numPr>
        <w:spacing w:after="0"/>
        <w:ind w:left="360"/>
        <w:rPr>
          <w:rFonts w:cs="Arial"/>
          <w:color w:val="auto"/>
        </w:rPr>
      </w:pPr>
    </w:p>
    <w:p w:rsidR="00E3780B" w:rsidRPr="00E3780B" w:rsidRDefault="00E3780B" w:rsidP="00E3780B">
      <w:pPr>
        <w:pStyle w:val="ListParagraph"/>
        <w:numPr>
          <w:ilvl w:val="0"/>
          <w:numId w:val="11"/>
        </w:numPr>
        <w:spacing w:after="0"/>
        <w:rPr>
          <w:rFonts w:cs="Arial"/>
          <w:color w:val="auto"/>
        </w:rPr>
      </w:pPr>
      <w:r w:rsidRPr="00E3780B">
        <w:rPr>
          <w:rFonts w:cs="Arial"/>
          <w:color w:val="auto"/>
        </w:rPr>
        <w:lastRenderedPageBreak/>
        <w:t>Appendix 3 also illustrates th</w:t>
      </w:r>
      <w:r w:rsidR="002917E1">
        <w:rPr>
          <w:rFonts w:cs="Arial"/>
          <w:color w:val="auto"/>
        </w:rPr>
        <w:t xml:space="preserve">at Option A represents best value, </w:t>
      </w:r>
      <w:r w:rsidRPr="00E3780B">
        <w:rPr>
          <w:rFonts w:cs="Arial"/>
          <w:color w:val="auto"/>
        </w:rPr>
        <w:t>by showing a cost per bed calculation.</w:t>
      </w:r>
      <w:r w:rsidR="00A143C3">
        <w:rPr>
          <w:rFonts w:cs="Arial"/>
          <w:color w:val="auto"/>
        </w:rPr>
        <w:t xml:space="preserve">  Option A is shown with the net cost representing a cost per bed space of £69,238.  Option B represents £99,800 per bed space, rising to £197,488 in Option C, which has the least value for money. </w:t>
      </w:r>
    </w:p>
    <w:p w:rsidR="00E3780B" w:rsidRPr="00E3780B" w:rsidRDefault="00E3780B" w:rsidP="00E3780B">
      <w:pPr>
        <w:pStyle w:val="ListParagraph"/>
        <w:numPr>
          <w:ilvl w:val="0"/>
          <w:numId w:val="0"/>
        </w:numPr>
        <w:spacing w:after="0"/>
        <w:ind w:left="360"/>
        <w:rPr>
          <w:rFonts w:cs="Arial"/>
          <w:color w:val="auto"/>
        </w:rPr>
      </w:pPr>
    </w:p>
    <w:p w:rsidR="00E3780B" w:rsidRPr="00E3780B" w:rsidRDefault="002E17FD" w:rsidP="00E3780B">
      <w:pPr>
        <w:pStyle w:val="ListParagraph"/>
        <w:numPr>
          <w:ilvl w:val="0"/>
          <w:numId w:val="11"/>
        </w:numPr>
        <w:spacing w:after="0"/>
        <w:rPr>
          <w:rFonts w:cs="Arial"/>
          <w:color w:val="auto"/>
        </w:rPr>
      </w:pPr>
      <w:r w:rsidRPr="00E3780B">
        <w:rPr>
          <w:rFonts w:cs="Arial"/>
          <w:color w:val="auto"/>
        </w:rPr>
        <w:t>The relative costs come about for the</w:t>
      </w:r>
      <w:r w:rsidR="00527AE7" w:rsidRPr="00E3780B">
        <w:rPr>
          <w:rFonts w:cs="Arial"/>
          <w:color w:val="auto"/>
        </w:rPr>
        <w:t xml:space="preserve"> following reasons</w:t>
      </w:r>
      <w:r w:rsidRPr="00E3780B">
        <w:rPr>
          <w:rFonts w:cs="Arial"/>
          <w:color w:val="auto"/>
        </w:rPr>
        <w:t>:</w:t>
      </w:r>
    </w:p>
    <w:p w:rsidR="00E3780B" w:rsidRPr="00E3780B" w:rsidRDefault="00E3780B" w:rsidP="00E3780B">
      <w:pPr>
        <w:pStyle w:val="ListParagraph"/>
        <w:numPr>
          <w:ilvl w:val="0"/>
          <w:numId w:val="0"/>
        </w:numPr>
        <w:ind w:left="426"/>
        <w:rPr>
          <w:rFonts w:cs="Arial"/>
          <w:color w:val="auto"/>
        </w:rPr>
      </w:pPr>
    </w:p>
    <w:p w:rsidR="00527AE7" w:rsidRPr="00E3780B" w:rsidRDefault="00527AE7" w:rsidP="00E3780B">
      <w:pPr>
        <w:pStyle w:val="ListParagraph"/>
        <w:numPr>
          <w:ilvl w:val="0"/>
          <w:numId w:val="26"/>
        </w:numPr>
        <w:spacing w:after="0"/>
        <w:rPr>
          <w:rFonts w:cs="Arial"/>
          <w:color w:val="auto"/>
        </w:rPr>
      </w:pPr>
      <w:r w:rsidRPr="00E3780B">
        <w:rPr>
          <w:rFonts w:cs="Arial"/>
          <w:color w:val="auto"/>
        </w:rPr>
        <w:t xml:space="preserve">In </w:t>
      </w:r>
      <w:r w:rsidR="00E3780B" w:rsidRPr="00E3780B">
        <w:rPr>
          <w:rFonts w:cs="Arial"/>
          <w:color w:val="auto"/>
        </w:rPr>
        <w:t>Option</w:t>
      </w:r>
      <w:r w:rsidRPr="00E3780B">
        <w:rPr>
          <w:rFonts w:cs="Arial"/>
          <w:color w:val="auto"/>
        </w:rPr>
        <w:t xml:space="preserve"> A, St Mungo</w:t>
      </w:r>
      <w:r w:rsidR="00E3780B" w:rsidRPr="00E3780B">
        <w:rPr>
          <w:rFonts w:cs="Arial"/>
          <w:color w:val="auto"/>
        </w:rPr>
        <w:t>’</w:t>
      </w:r>
      <w:r w:rsidRPr="00E3780B">
        <w:rPr>
          <w:rFonts w:cs="Arial"/>
          <w:color w:val="auto"/>
        </w:rPr>
        <w:t xml:space="preserve">s are providing </w:t>
      </w:r>
      <w:r w:rsidR="00E3780B" w:rsidRPr="00E3780B">
        <w:rPr>
          <w:rFonts w:cs="Arial"/>
          <w:color w:val="auto"/>
        </w:rPr>
        <w:t>£</w:t>
      </w:r>
      <w:r w:rsidRPr="00E3780B">
        <w:rPr>
          <w:rFonts w:cs="Arial"/>
          <w:color w:val="auto"/>
        </w:rPr>
        <w:t>120k of additional funding to the model</w:t>
      </w:r>
      <w:r w:rsidR="002E17FD" w:rsidRPr="00E3780B">
        <w:rPr>
          <w:rFonts w:cs="Arial"/>
          <w:color w:val="auto"/>
        </w:rPr>
        <w:t>, on the basis of a long term partnership agreement.</w:t>
      </w:r>
    </w:p>
    <w:p w:rsidR="00527AE7" w:rsidRPr="00E3780B" w:rsidRDefault="00527AE7" w:rsidP="00E3780B">
      <w:pPr>
        <w:pStyle w:val="ListParagraph"/>
        <w:numPr>
          <w:ilvl w:val="0"/>
          <w:numId w:val="26"/>
        </w:numPr>
        <w:spacing w:after="0"/>
        <w:rPr>
          <w:rFonts w:cs="Arial"/>
          <w:color w:val="auto"/>
        </w:rPr>
      </w:pPr>
      <w:r w:rsidRPr="00E3780B">
        <w:rPr>
          <w:rFonts w:cs="Arial"/>
          <w:color w:val="auto"/>
        </w:rPr>
        <w:t xml:space="preserve">Also only in </w:t>
      </w:r>
      <w:r w:rsidR="00E3780B" w:rsidRPr="00E3780B">
        <w:rPr>
          <w:rFonts w:cs="Arial"/>
          <w:color w:val="auto"/>
        </w:rPr>
        <w:t>Option</w:t>
      </w:r>
      <w:r w:rsidRPr="00E3780B">
        <w:rPr>
          <w:rFonts w:cs="Arial"/>
          <w:color w:val="auto"/>
        </w:rPr>
        <w:t xml:space="preserve"> A, some of the rental costs of the building can be offset by rental income from the Staging Post. This is not possible in </w:t>
      </w:r>
      <w:r w:rsidR="00E3780B" w:rsidRPr="00E3780B">
        <w:rPr>
          <w:rFonts w:cs="Arial"/>
          <w:color w:val="auto"/>
        </w:rPr>
        <w:t>Option</w:t>
      </w:r>
      <w:r w:rsidRPr="00E3780B">
        <w:rPr>
          <w:rFonts w:cs="Arial"/>
          <w:color w:val="auto"/>
        </w:rPr>
        <w:t>s B or C</w:t>
      </w:r>
      <w:r w:rsidR="00E3780B" w:rsidRPr="00E3780B">
        <w:rPr>
          <w:rFonts w:cs="Arial"/>
          <w:color w:val="auto"/>
        </w:rPr>
        <w:t>.</w:t>
      </w:r>
    </w:p>
    <w:p w:rsidR="00527AE7" w:rsidRPr="00E3780B" w:rsidRDefault="00E3780B" w:rsidP="00E3780B">
      <w:pPr>
        <w:pStyle w:val="ListParagraph"/>
        <w:numPr>
          <w:ilvl w:val="0"/>
          <w:numId w:val="26"/>
        </w:numPr>
        <w:spacing w:after="0"/>
        <w:rPr>
          <w:rFonts w:cs="Arial"/>
          <w:color w:val="auto"/>
        </w:rPr>
      </w:pPr>
      <w:r w:rsidRPr="00E3780B">
        <w:rPr>
          <w:rFonts w:cs="Arial"/>
          <w:color w:val="auto"/>
        </w:rPr>
        <w:t>Option</w:t>
      </w:r>
      <w:r w:rsidR="00527AE7" w:rsidRPr="00E3780B">
        <w:rPr>
          <w:rFonts w:cs="Arial"/>
          <w:color w:val="auto"/>
        </w:rPr>
        <w:t xml:space="preserve"> A allows for </w:t>
      </w:r>
      <w:r w:rsidR="002E17FD" w:rsidRPr="00E3780B">
        <w:rPr>
          <w:rFonts w:cs="Arial"/>
          <w:color w:val="auto"/>
        </w:rPr>
        <w:t xml:space="preserve">staffing </w:t>
      </w:r>
      <w:r w:rsidR="00527AE7" w:rsidRPr="00E3780B">
        <w:rPr>
          <w:rFonts w:cs="Arial"/>
          <w:color w:val="auto"/>
        </w:rPr>
        <w:t>efficiencies to be made when running multiple services from the same location</w:t>
      </w:r>
      <w:r w:rsidRPr="00E3780B">
        <w:rPr>
          <w:rFonts w:cs="Arial"/>
          <w:color w:val="auto"/>
        </w:rPr>
        <w:t>.</w:t>
      </w:r>
    </w:p>
    <w:p w:rsidR="009F35F8" w:rsidRPr="004149D1" w:rsidRDefault="009F35F8" w:rsidP="00475C09">
      <w:pPr>
        <w:pStyle w:val="ListParagraph"/>
        <w:numPr>
          <w:ilvl w:val="0"/>
          <w:numId w:val="0"/>
        </w:numPr>
        <w:spacing w:after="0"/>
        <w:ind w:left="360"/>
        <w:rPr>
          <w:rFonts w:cs="Arial"/>
          <w:color w:val="1F497D" w:themeColor="text2"/>
        </w:rPr>
      </w:pPr>
    </w:p>
    <w:p w:rsidR="00475C09" w:rsidRPr="004149D1" w:rsidRDefault="00C44F4D" w:rsidP="009F49A2">
      <w:pPr>
        <w:pStyle w:val="ListParagraph"/>
        <w:numPr>
          <w:ilvl w:val="0"/>
          <w:numId w:val="11"/>
        </w:numPr>
        <w:spacing w:after="0"/>
        <w:rPr>
          <w:rFonts w:cs="Arial"/>
          <w:color w:val="auto"/>
        </w:rPr>
      </w:pPr>
      <w:r w:rsidRPr="004149D1">
        <w:rPr>
          <w:rFonts w:cs="Arial"/>
          <w:color w:val="auto"/>
        </w:rPr>
        <w:t xml:space="preserve">It is possible that </w:t>
      </w:r>
      <w:r w:rsidR="00527AE7" w:rsidRPr="004149D1">
        <w:rPr>
          <w:rFonts w:cs="Arial"/>
          <w:color w:val="auto"/>
        </w:rPr>
        <w:t xml:space="preserve">under </w:t>
      </w:r>
      <w:r w:rsidR="00E3780B">
        <w:rPr>
          <w:rFonts w:cs="Arial"/>
          <w:color w:val="auto"/>
        </w:rPr>
        <w:t>Option</w:t>
      </w:r>
      <w:r w:rsidR="00527AE7" w:rsidRPr="004149D1">
        <w:rPr>
          <w:rFonts w:cs="Arial"/>
          <w:color w:val="auto"/>
        </w:rPr>
        <w:t>s B and C, alternative use of the unused wings</w:t>
      </w:r>
      <w:r w:rsidRPr="004149D1">
        <w:rPr>
          <w:rFonts w:cs="Arial"/>
          <w:color w:val="auto"/>
        </w:rPr>
        <w:t xml:space="preserve"> could be made </w:t>
      </w:r>
      <w:r w:rsidR="002E17FD" w:rsidRPr="004149D1">
        <w:rPr>
          <w:rFonts w:cs="Arial"/>
          <w:color w:val="auto"/>
        </w:rPr>
        <w:t>which</w:t>
      </w:r>
      <w:r w:rsidRPr="004149D1">
        <w:rPr>
          <w:rFonts w:cs="Arial"/>
          <w:color w:val="auto"/>
        </w:rPr>
        <w:t xml:space="preserve"> </w:t>
      </w:r>
      <w:r w:rsidR="002E17FD" w:rsidRPr="004149D1">
        <w:rPr>
          <w:rFonts w:cs="Arial"/>
          <w:color w:val="auto"/>
        </w:rPr>
        <w:t>c</w:t>
      </w:r>
      <w:r w:rsidRPr="004149D1">
        <w:rPr>
          <w:rFonts w:cs="Arial"/>
          <w:color w:val="auto"/>
        </w:rPr>
        <w:t>ould generate additional income</w:t>
      </w:r>
      <w:r w:rsidR="002E17FD" w:rsidRPr="004149D1">
        <w:rPr>
          <w:rFonts w:cs="Arial"/>
          <w:color w:val="auto"/>
        </w:rPr>
        <w:t>.</w:t>
      </w:r>
      <w:r w:rsidRPr="004149D1">
        <w:rPr>
          <w:rFonts w:cs="Arial"/>
          <w:color w:val="auto"/>
        </w:rPr>
        <w:t xml:space="preserve"> </w:t>
      </w:r>
      <w:r w:rsidR="002E17FD" w:rsidRPr="004149D1">
        <w:rPr>
          <w:rFonts w:cs="Arial"/>
          <w:color w:val="auto"/>
        </w:rPr>
        <w:t>H</w:t>
      </w:r>
      <w:r w:rsidRPr="004149D1">
        <w:rPr>
          <w:rFonts w:cs="Arial"/>
          <w:color w:val="auto"/>
        </w:rPr>
        <w:t xml:space="preserve">owever </w:t>
      </w:r>
      <w:r w:rsidR="00E3780B">
        <w:rPr>
          <w:rFonts w:cs="Arial"/>
          <w:color w:val="auto"/>
        </w:rPr>
        <w:t xml:space="preserve">significant </w:t>
      </w:r>
      <w:r w:rsidRPr="004149D1">
        <w:rPr>
          <w:rFonts w:cs="Arial"/>
          <w:color w:val="auto"/>
        </w:rPr>
        <w:t xml:space="preserve">work would be required to assess whether this is viable, </w:t>
      </w:r>
      <w:r w:rsidR="009F49A2" w:rsidRPr="004149D1">
        <w:rPr>
          <w:rFonts w:cs="Arial"/>
          <w:color w:val="auto"/>
        </w:rPr>
        <w:t xml:space="preserve">and </w:t>
      </w:r>
      <w:r w:rsidRPr="004149D1">
        <w:rPr>
          <w:rFonts w:cs="Arial"/>
          <w:color w:val="auto"/>
        </w:rPr>
        <w:t>additional capital improv</w:t>
      </w:r>
      <w:r w:rsidR="00527AE7" w:rsidRPr="004149D1">
        <w:rPr>
          <w:rFonts w:cs="Arial"/>
          <w:color w:val="auto"/>
        </w:rPr>
        <w:t xml:space="preserve">ement works </w:t>
      </w:r>
      <w:r w:rsidR="00E3780B">
        <w:rPr>
          <w:rFonts w:cs="Arial"/>
          <w:color w:val="auto"/>
        </w:rPr>
        <w:t>will</w:t>
      </w:r>
      <w:r w:rsidR="00527AE7" w:rsidRPr="004149D1">
        <w:rPr>
          <w:rFonts w:cs="Arial"/>
          <w:color w:val="auto"/>
        </w:rPr>
        <w:t xml:space="preserve"> be required. It is not expected that full market rent would be achieved.</w:t>
      </w:r>
    </w:p>
    <w:p w:rsidR="00475C09" w:rsidRPr="004149D1" w:rsidRDefault="00475C09" w:rsidP="00527AE7">
      <w:pPr>
        <w:spacing w:after="0"/>
        <w:rPr>
          <w:rFonts w:cs="Arial"/>
          <w:color w:val="1F497D" w:themeColor="text2"/>
        </w:rPr>
      </w:pPr>
    </w:p>
    <w:p w:rsidR="00831B35" w:rsidRPr="004149D1" w:rsidRDefault="00527AE7" w:rsidP="00831B35">
      <w:pPr>
        <w:pStyle w:val="ListParagraph"/>
        <w:numPr>
          <w:ilvl w:val="0"/>
          <w:numId w:val="11"/>
        </w:numPr>
        <w:spacing w:after="0"/>
        <w:rPr>
          <w:rFonts w:cs="Arial"/>
          <w:color w:val="auto"/>
        </w:rPr>
      </w:pPr>
      <w:r w:rsidRPr="004149D1">
        <w:rPr>
          <w:rFonts w:cs="Arial"/>
          <w:color w:val="auto"/>
        </w:rPr>
        <w:t>O</w:t>
      </w:r>
      <w:r w:rsidR="00475C09" w:rsidRPr="004149D1">
        <w:rPr>
          <w:rFonts w:cs="Arial"/>
          <w:color w:val="auto"/>
        </w:rPr>
        <w:t>ption</w:t>
      </w:r>
      <w:r w:rsidRPr="004149D1">
        <w:rPr>
          <w:rFonts w:cs="Arial"/>
          <w:color w:val="auto"/>
        </w:rPr>
        <w:t>s B and C</w:t>
      </w:r>
      <w:r w:rsidR="00B36518" w:rsidRPr="004149D1">
        <w:rPr>
          <w:rFonts w:cs="Arial"/>
          <w:color w:val="auto"/>
        </w:rPr>
        <w:t xml:space="preserve"> are</w:t>
      </w:r>
      <w:r w:rsidR="00475C09" w:rsidRPr="004149D1">
        <w:rPr>
          <w:rFonts w:cs="Arial"/>
          <w:color w:val="auto"/>
        </w:rPr>
        <w:t xml:space="preserve"> not recommended due to </w:t>
      </w:r>
      <w:r w:rsidR="00560C8C" w:rsidRPr="004149D1">
        <w:rPr>
          <w:rFonts w:cs="Arial"/>
          <w:color w:val="auto"/>
        </w:rPr>
        <w:t xml:space="preserve">poor expected client </w:t>
      </w:r>
      <w:r w:rsidR="00831B35" w:rsidRPr="004149D1">
        <w:rPr>
          <w:rFonts w:cs="Arial"/>
          <w:color w:val="auto"/>
        </w:rPr>
        <w:t xml:space="preserve">outcomes </w:t>
      </w:r>
      <w:r w:rsidR="00560C8C" w:rsidRPr="004149D1">
        <w:rPr>
          <w:rFonts w:cs="Arial"/>
          <w:color w:val="auto"/>
        </w:rPr>
        <w:t xml:space="preserve">(no step change </w:t>
      </w:r>
      <w:r w:rsidR="002E17FD" w:rsidRPr="004149D1">
        <w:rPr>
          <w:rFonts w:cs="Arial"/>
          <w:color w:val="auto"/>
        </w:rPr>
        <w:t>from current provision</w:t>
      </w:r>
      <w:r w:rsidR="00560C8C" w:rsidRPr="004149D1">
        <w:rPr>
          <w:rFonts w:cs="Arial"/>
          <w:color w:val="auto"/>
        </w:rPr>
        <w:t xml:space="preserve">) </w:t>
      </w:r>
      <w:r w:rsidR="00831B35" w:rsidRPr="004149D1">
        <w:rPr>
          <w:rFonts w:cs="Arial"/>
          <w:color w:val="auto"/>
        </w:rPr>
        <w:t xml:space="preserve">and </w:t>
      </w:r>
      <w:r w:rsidR="00560C8C" w:rsidRPr="004149D1">
        <w:rPr>
          <w:rFonts w:cs="Arial"/>
          <w:color w:val="auto"/>
        </w:rPr>
        <w:t xml:space="preserve">that the </w:t>
      </w:r>
      <w:r w:rsidR="00831B35" w:rsidRPr="004149D1">
        <w:rPr>
          <w:rFonts w:cs="Arial"/>
          <w:color w:val="auto"/>
        </w:rPr>
        <w:t>costs</w:t>
      </w:r>
      <w:r w:rsidR="00560C8C" w:rsidRPr="004149D1">
        <w:rPr>
          <w:rFonts w:cs="Arial"/>
          <w:color w:val="auto"/>
        </w:rPr>
        <w:t xml:space="preserve"> required </w:t>
      </w:r>
      <w:r w:rsidR="002E17FD" w:rsidRPr="004149D1">
        <w:rPr>
          <w:rFonts w:cs="Arial"/>
          <w:color w:val="auto"/>
        </w:rPr>
        <w:t>d</w:t>
      </w:r>
      <w:r w:rsidR="00560C8C" w:rsidRPr="004149D1">
        <w:rPr>
          <w:rFonts w:cs="Arial"/>
          <w:color w:val="auto"/>
        </w:rPr>
        <w:t xml:space="preserve">o </w:t>
      </w:r>
      <w:r w:rsidR="00831B35" w:rsidRPr="004149D1">
        <w:rPr>
          <w:rFonts w:cs="Arial"/>
          <w:color w:val="auto"/>
        </w:rPr>
        <w:t xml:space="preserve">not </w:t>
      </w:r>
      <w:r w:rsidR="00560C8C" w:rsidRPr="004149D1">
        <w:rPr>
          <w:rFonts w:cs="Arial"/>
          <w:color w:val="auto"/>
        </w:rPr>
        <w:t xml:space="preserve">therefore represent </w:t>
      </w:r>
      <w:r w:rsidR="00831B35" w:rsidRPr="004149D1">
        <w:rPr>
          <w:rFonts w:cs="Arial"/>
          <w:color w:val="auto"/>
        </w:rPr>
        <w:t>best value</w:t>
      </w:r>
      <w:r w:rsidRPr="004149D1">
        <w:rPr>
          <w:rFonts w:cs="Arial"/>
          <w:color w:val="auto"/>
        </w:rPr>
        <w:t>. In particular, Option C is not recommended as it leads t</w:t>
      </w:r>
      <w:r w:rsidR="00E3780B">
        <w:rPr>
          <w:rFonts w:cs="Arial"/>
          <w:color w:val="auto"/>
        </w:rPr>
        <w:t>o an overall net loss of beds (some</w:t>
      </w:r>
      <w:r w:rsidRPr="004149D1">
        <w:rPr>
          <w:rFonts w:cs="Arial"/>
          <w:color w:val="auto"/>
        </w:rPr>
        <w:t xml:space="preserve"> sit-up beds will be lost and only 16 beds gained at Floyds Row)</w:t>
      </w:r>
      <w:r w:rsidR="00E3780B">
        <w:rPr>
          <w:rFonts w:cs="Arial"/>
          <w:color w:val="auto"/>
        </w:rPr>
        <w:t>.</w:t>
      </w:r>
    </w:p>
    <w:p w:rsidR="00560C8C" w:rsidRPr="004149D1" w:rsidRDefault="00560C8C" w:rsidP="00560C8C">
      <w:pPr>
        <w:pStyle w:val="ListParagraph"/>
        <w:numPr>
          <w:ilvl w:val="0"/>
          <w:numId w:val="0"/>
        </w:numPr>
        <w:spacing w:after="0"/>
        <w:ind w:left="360"/>
        <w:rPr>
          <w:rFonts w:cs="Arial"/>
          <w:color w:val="auto"/>
        </w:rPr>
      </w:pPr>
    </w:p>
    <w:p w:rsidR="001043BC" w:rsidRDefault="001043BC" w:rsidP="001043BC">
      <w:pPr>
        <w:pStyle w:val="ListParagraph"/>
        <w:numPr>
          <w:ilvl w:val="0"/>
          <w:numId w:val="11"/>
        </w:numPr>
        <w:spacing w:after="0"/>
        <w:rPr>
          <w:rFonts w:cs="Arial"/>
          <w:color w:val="auto"/>
        </w:rPr>
      </w:pPr>
      <w:r w:rsidRPr="004149D1">
        <w:rPr>
          <w:rFonts w:cs="Arial"/>
          <w:color w:val="auto"/>
        </w:rPr>
        <w:t xml:space="preserve">If the recommended option to proceed with the full contract (Option A) is not proceeded with, then there are still cost impacts that need to be funded. If </w:t>
      </w:r>
      <w:r>
        <w:rPr>
          <w:rFonts w:cs="Arial"/>
          <w:color w:val="auto"/>
        </w:rPr>
        <w:t>the Council was not</w:t>
      </w:r>
      <w:r w:rsidRPr="004149D1">
        <w:rPr>
          <w:rFonts w:cs="Arial"/>
          <w:color w:val="auto"/>
        </w:rPr>
        <w:t xml:space="preserve"> to proceed with Option A these would be:</w:t>
      </w:r>
    </w:p>
    <w:p w:rsidR="001043BC" w:rsidRPr="00E3780B" w:rsidRDefault="001043BC" w:rsidP="001043BC">
      <w:pPr>
        <w:ind w:left="426" w:hanging="426"/>
        <w:rPr>
          <w:rFonts w:cs="Arial"/>
          <w:color w:val="auto"/>
        </w:rPr>
      </w:pPr>
    </w:p>
    <w:p w:rsidR="001043BC" w:rsidRPr="004149D1" w:rsidRDefault="001043BC" w:rsidP="001043BC">
      <w:pPr>
        <w:pStyle w:val="ListParagraph"/>
        <w:numPr>
          <w:ilvl w:val="1"/>
          <w:numId w:val="11"/>
        </w:numPr>
        <w:spacing w:after="0"/>
        <w:rPr>
          <w:rFonts w:cs="Arial"/>
          <w:color w:val="auto"/>
        </w:rPr>
      </w:pPr>
      <w:r w:rsidRPr="004149D1">
        <w:rPr>
          <w:rFonts w:cs="Arial"/>
          <w:color w:val="auto"/>
        </w:rPr>
        <w:t xml:space="preserve">The remainder of phase 1 costs (to bring one wing into use). As detailed in paragraph fifteen, this requires an additional </w:t>
      </w:r>
      <w:r>
        <w:rPr>
          <w:rFonts w:cs="Arial"/>
          <w:color w:val="auto"/>
        </w:rPr>
        <w:t>£</w:t>
      </w:r>
      <w:r w:rsidRPr="004149D1">
        <w:rPr>
          <w:rFonts w:cs="Arial"/>
          <w:color w:val="auto"/>
        </w:rPr>
        <w:t xml:space="preserve">370k spending – </w:t>
      </w:r>
      <w:r>
        <w:rPr>
          <w:rFonts w:cs="Arial"/>
          <w:color w:val="auto"/>
        </w:rPr>
        <w:t>£</w:t>
      </w:r>
      <w:r w:rsidRPr="004149D1">
        <w:rPr>
          <w:rFonts w:cs="Arial"/>
          <w:color w:val="auto"/>
        </w:rPr>
        <w:t>120k of which has yet to be approved</w:t>
      </w:r>
      <w:r>
        <w:rPr>
          <w:rFonts w:cs="Arial"/>
          <w:color w:val="auto"/>
        </w:rPr>
        <w:t xml:space="preserve"> by Council</w:t>
      </w:r>
      <w:r w:rsidRPr="004149D1">
        <w:rPr>
          <w:rFonts w:cs="Arial"/>
          <w:color w:val="auto"/>
        </w:rPr>
        <w:t>.</w:t>
      </w:r>
    </w:p>
    <w:p w:rsidR="001043BC" w:rsidRPr="004149D1" w:rsidRDefault="001043BC" w:rsidP="001043BC">
      <w:pPr>
        <w:pStyle w:val="ListParagraph"/>
        <w:numPr>
          <w:ilvl w:val="1"/>
          <w:numId w:val="11"/>
        </w:numPr>
        <w:spacing w:after="0"/>
        <w:rPr>
          <w:rFonts w:cs="Arial"/>
          <w:color w:val="auto"/>
        </w:rPr>
      </w:pPr>
      <w:r w:rsidRPr="004149D1">
        <w:rPr>
          <w:rFonts w:cs="Arial"/>
          <w:color w:val="auto"/>
        </w:rPr>
        <w:t>Revenue costs (net of reduced income) to operate the service as set out above</w:t>
      </w:r>
    </w:p>
    <w:p w:rsidR="007D5A71" w:rsidRPr="00F80467" w:rsidRDefault="007D5A71" w:rsidP="007D5A71">
      <w:pPr>
        <w:pStyle w:val="ListParagraph"/>
        <w:numPr>
          <w:ilvl w:val="0"/>
          <w:numId w:val="0"/>
        </w:numPr>
        <w:spacing w:after="0"/>
        <w:ind w:left="1080"/>
        <w:rPr>
          <w:rFonts w:cs="Arial"/>
          <w:color w:val="FF0000"/>
        </w:rPr>
      </w:pPr>
    </w:p>
    <w:p w:rsidR="007D5A71" w:rsidRPr="004149D1" w:rsidRDefault="007D5A71" w:rsidP="007D5A71">
      <w:pPr>
        <w:spacing w:after="0"/>
        <w:ind w:left="426" w:hanging="426"/>
        <w:rPr>
          <w:rFonts w:cs="Arial"/>
          <w:b/>
          <w:color w:val="FF0000"/>
        </w:rPr>
      </w:pPr>
      <w:r w:rsidRPr="004149D1">
        <w:rPr>
          <w:b/>
        </w:rPr>
        <w:t>Financial implications</w:t>
      </w:r>
    </w:p>
    <w:p w:rsidR="007D5A71" w:rsidRPr="004149D1" w:rsidRDefault="007D5A71" w:rsidP="007D5A71">
      <w:pPr>
        <w:pStyle w:val="ListParagraph"/>
        <w:numPr>
          <w:ilvl w:val="0"/>
          <w:numId w:val="0"/>
        </w:numPr>
        <w:spacing w:after="0"/>
        <w:ind w:left="1080"/>
        <w:rPr>
          <w:rFonts w:cs="Arial"/>
          <w:color w:val="FF0000"/>
        </w:rPr>
      </w:pPr>
    </w:p>
    <w:p w:rsidR="005C00CB" w:rsidRPr="00ED0CEA" w:rsidRDefault="005C00CB" w:rsidP="005C00CB">
      <w:pPr>
        <w:pStyle w:val="ListParagraph"/>
        <w:numPr>
          <w:ilvl w:val="0"/>
          <w:numId w:val="11"/>
        </w:numPr>
        <w:spacing w:after="0"/>
        <w:rPr>
          <w:rFonts w:cs="Arial"/>
          <w:color w:val="auto"/>
        </w:rPr>
      </w:pPr>
      <w:r w:rsidRPr="004149D1">
        <w:rPr>
          <w:color w:val="auto"/>
        </w:rPr>
        <w:t xml:space="preserve">The financial modelling for </w:t>
      </w:r>
      <w:r>
        <w:rPr>
          <w:color w:val="auto"/>
        </w:rPr>
        <w:t>each o</w:t>
      </w:r>
      <w:r w:rsidRPr="004149D1">
        <w:rPr>
          <w:color w:val="auto"/>
        </w:rPr>
        <w:t>ption</w:t>
      </w:r>
      <w:r>
        <w:rPr>
          <w:color w:val="auto"/>
        </w:rPr>
        <w:t>s</w:t>
      </w:r>
      <w:r w:rsidR="001043BC">
        <w:rPr>
          <w:color w:val="auto"/>
        </w:rPr>
        <w:t xml:space="preserve"> costs and funding,</w:t>
      </w:r>
      <w:r w:rsidRPr="004149D1">
        <w:rPr>
          <w:color w:val="auto"/>
        </w:rPr>
        <w:t xml:space="preserve"> for capital budgets</w:t>
      </w:r>
      <w:r>
        <w:rPr>
          <w:color w:val="auto"/>
        </w:rPr>
        <w:t xml:space="preserve">, with </w:t>
      </w:r>
      <w:r w:rsidRPr="004149D1">
        <w:rPr>
          <w:color w:val="auto"/>
        </w:rPr>
        <w:t xml:space="preserve">revenue modelling, are set out in Appendix 3. </w:t>
      </w:r>
      <w:r>
        <w:rPr>
          <w:color w:val="auto"/>
        </w:rPr>
        <w:t>For the preferred option of 56 bed spaces the following financial implications are relevant :</w:t>
      </w:r>
    </w:p>
    <w:p w:rsidR="005C00CB" w:rsidRDefault="005C00CB" w:rsidP="005C00CB">
      <w:pPr>
        <w:pStyle w:val="ListParagraph"/>
        <w:numPr>
          <w:ilvl w:val="0"/>
          <w:numId w:val="0"/>
        </w:numPr>
        <w:spacing w:after="0"/>
        <w:ind w:left="360"/>
        <w:rPr>
          <w:color w:val="auto"/>
        </w:rPr>
      </w:pPr>
    </w:p>
    <w:p w:rsidR="005C00CB" w:rsidRDefault="005C00CB" w:rsidP="005C00CB">
      <w:pPr>
        <w:pStyle w:val="ListParagraph"/>
        <w:numPr>
          <w:ilvl w:val="0"/>
          <w:numId w:val="0"/>
        </w:numPr>
        <w:spacing w:after="0"/>
        <w:ind w:left="360"/>
        <w:rPr>
          <w:rFonts w:cs="Arial"/>
          <w:b/>
          <w:color w:val="auto"/>
        </w:rPr>
      </w:pPr>
      <w:r w:rsidRPr="00173D7F">
        <w:rPr>
          <w:rFonts w:cs="Arial"/>
          <w:b/>
          <w:color w:val="auto"/>
        </w:rPr>
        <w:t xml:space="preserve">Capital  </w:t>
      </w:r>
      <w:r>
        <w:rPr>
          <w:rFonts w:cs="Arial"/>
          <w:b/>
          <w:color w:val="auto"/>
        </w:rPr>
        <w:t xml:space="preserve"> </w:t>
      </w:r>
    </w:p>
    <w:p w:rsidR="005C00CB" w:rsidRDefault="005C00CB" w:rsidP="005C00CB">
      <w:pPr>
        <w:pStyle w:val="ListParagraph"/>
        <w:numPr>
          <w:ilvl w:val="0"/>
          <w:numId w:val="29"/>
        </w:numPr>
        <w:spacing w:after="0"/>
        <w:rPr>
          <w:rFonts w:cs="Arial"/>
          <w:color w:val="auto"/>
        </w:rPr>
      </w:pPr>
      <w:r w:rsidRPr="00173D7F">
        <w:rPr>
          <w:rFonts w:cs="Arial"/>
          <w:color w:val="auto"/>
        </w:rPr>
        <w:t>Increase the capital budget from £758k to £1,892k noting the need to borrow to finance this additional spend with a cost of capital of around 6% and noting existing grant funding of £</w:t>
      </w:r>
      <w:r w:rsidR="007A5E4E">
        <w:rPr>
          <w:rFonts w:cs="Arial"/>
          <w:color w:val="auto"/>
        </w:rPr>
        <w:t>375</w:t>
      </w:r>
      <w:r w:rsidRPr="00173D7F">
        <w:rPr>
          <w:rFonts w:cs="Arial"/>
          <w:color w:val="auto"/>
        </w:rPr>
        <w:t>k</w:t>
      </w:r>
      <w:r>
        <w:rPr>
          <w:rFonts w:cs="Arial"/>
          <w:color w:val="auto"/>
        </w:rPr>
        <w:t>.</w:t>
      </w:r>
    </w:p>
    <w:p w:rsidR="005C00CB" w:rsidRPr="00173D7F" w:rsidRDefault="005C00CB" w:rsidP="005C00CB">
      <w:pPr>
        <w:pStyle w:val="ListParagraph"/>
        <w:numPr>
          <w:ilvl w:val="0"/>
          <w:numId w:val="0"/>
        </w:numPr>
        <w:spacing w:after="0"/>
        <w:ind w:left="1080"/>
        <w:rPr>
          <w:rFonts w:cs="Arial"/>
          <w:color w:val="auto"/>
        </w:rPr>
      </w:pPr>
    </w:p>
    <w:p w:rsidR="005C00CB" w:rsidRDefault="005C00CB" w:rsidP="005C00CB">
      <w:pPr>
        <w:spacing w:after="0"/>
        <w:rPr>
          <w:rFonts w:cs="Arial"/>
          <w:b/>
          <w:color w:val="auto"/>
        </w:rPr>
      </w:pPr>
      <w:r>
        <w:rPr>
          <w:rFonts w:cs="Arial"/>
          <w:b/>
          <w:color w:val="auto"/>
        </w:rPr>
        <w:t xml:space="preserve">     Revenue </w:t>
      </w:r>
    </w:p>
    <w:p w:rsidR="005C00CB" w:rsidRPr="00173D7F" w:rsidRDefault="005C00CB" w:rsidP="005C00CB">
      <w:pPr>
        <w:pStyle w:val="ListParagraph"/>
        <w:numPr>
          <w:ilvl w:val="0"/>
          <w:numId w:val="29"/>
        </w:numPr>
        <w:spacing w:after="0"/>
        <w:rPr>
          <w:rFonts w:cs="Arial"/>
          <w:b/>
          <w:color w:val="auto"/>
        </w:rPr>
      </w:pPr>
      <w:r w:rsidRPr="00173D7F">
        <w:rPr>
          <w:rFonts w:cs="Arial"/>
          <w:color w:val="auto"/>
        </w:rPr>
        <w:t xml:space="preserve">Agreeing a net revenue budget for the operation of Floyds Row of approximately £774k per annum and noting </w:t>
      </w:r>
    </w:p>
    <w:p w:rsidR="005C00CB" w:rsidRPr="00173D7F" w:rsidRDefault="005C00CB" w:rsidP="005C00CB">
      <w:pPr>
        <w:pStyle w:val="ListParagraph"/>
        <w:numPr>
          <w:ilvl w:val="1"/>
          <w:numId w:val="29"/>
        </w:numPr>
        <w:spacing w:after="0"/>
        <w:rPr>
          <w:rFonts w:cs="Arial"/>
          <w:b/>
          <w:color w:val="auto"/>
        </w:rPr>
      </w:pPr>
      <w:r>
        <w:rPr>
          <w:rFonts w:cs="Arial"/>
          <w:color w:val="auto"/>
        </w:rPr>
        <w:lastRenderedPageBreak/>
        <w:t xml:space="preserve">the cost of operating the service to the Council, as provided by St Mungo’s at £1.2 million per annum (net of </w:t>
      </w:r>
      <w:r w:rsidRPr="00173D7F">
        <w:rPr>
          <w:rFonts w:cs="Arial"/>
          <w:color w:val="auto"/>
        </w:rPr>
        <w:t xml:space="preserve">funding from </w:t>
      </w:r>
      <w:r>
        <w:rPr>
          <w:rFonts w:cs="Arial"/>
          <w:color w:val="auto"/>
        </w:rPr>
        <w:t>St Mungo’s of £120k per annum)</w:t>
      </w:r>
    </w:p>
    <w:p w:rsidR="005C00CB" w:rsidRDefault="005C00CB" w:rsidP="005C00CB">
      <w:pPr>
        <w:pStyle w:val="ListParagraph"/>
        <w:numPr>
          <w:ilvl w:val="1"/>
          <w:numId w:val="29"/>
        </w:numPr>
        <w:spacing w:after="0"/>
        <w:rPr>
          <w:rFonts w:cs="Arial"/>
          <w:b/>
          <w:color w:val="auto"/>
        </w:rPr>
      </w:pPr>
      <w:r w:rsidRPr="00173D7F">
        <w:rPr>
          <w:rFonts w:cs="Arial"/>
          <w:color w:val="auto"/>
        </w:rPr>
        <w:t>the reduction in the sit up and outreach service of £410k per annum</w:t>
      </w:r>
      <w:r>
        <w:rPr>
          <w:rFonts w:cs="Arial"/>
          <w:b/>
          <w:color w:val="auto"/>
        </w:rPr>
        <w:t xml:space="preserve"> </w:t>
      </w:r>
    </w:p>
    <w:p w:rsidR="005C00CB" w:rsidRDefault="005C00CB" w:rsidP="005C00CB">
      <w:pPr>
        <w:pStyle w:val="ListParagraph"/>
        <w:numPr>
          <w:ilvl w:val="1"/>
          <w:numId w:val="29"/>
        </w:numPr>
        <w:spacing w:after="0"/>
        <w:rPr>
          <w:rFonts w:cs="Arial"/>
          <w:b/>
          <w:color w:val="auto"/>
        </w:rPr>
      </w:pPr>
      <w:r>
        <w:rPr>
          <w:rFonts w:cs="Arial"/>
          <w:color w:val="auto"/>
        </w:rPr>
        <w:t>that the rent on the building estimated at £180k per annum is to be covered within the project finances</w:t>
      </w:r>
    </w:p>
    <w:p w:rsidR="005C00CB" w:rsidRPr="00173D7F" w:rsidRDefault="005C00CB" w:rsidP="005C00CB">
      <w:pPr>
        <w:pStyle w:val="ListParagraph"/>
        <w:numPr>
          <w:ilvl w:val="1"/>
          <w:numId w:val="29"/>
        </w:numPr>
        <w:spacing w:after="0"/>
        <w:rPr>
          <w:rFonts w:cs="Arial"/>
          <w:b/>
          <w:color w:val="auto"/>
        </w:rPr>
      </w:pPr>
      <w:proofErr w:type="gramStart"/>
      <w:r>
        <w:rPr>
          <w:rFonts w:cs="Arial"/>
          <w:color w:val="auto"/>
        </w:rPr>
        <w:t>the</w:t>
      </w:r>
      <w:proofErr w:type="gramEnd"/>
      <w:r>
        <w:rPr>
          <w:rFonts w:cs="Arial"/>
          <w:color w:val="auto"/>
        </w:rPr>
        <w:t xml:space="preserve"> increased revenue cost can be covered initially from grants in year 1 of operation in 2019</w:t>
      </w:r>
      <w:r w:rsidRPr="00173D7F">
        <w:rPr>
          <w:rFonts w:cs="Arial"/>
          <w:b/>
          <w:color w:val="auto"/>
        </w:rPr>
        <w:t>-</w:t>
      </w:r>
      <w:r w:rsidRPr="00173D7F">
        <w:rPr>
          <w:rFonts w:cs="Arial"/>
          <w:color w:val="auto"/>
        </w:rPr>
        <w:t>20</w:t>
      </w:r>
      <w:r>
        <w:rPr>
          <w:rFonts w:cs="Arial"/>
          <w:color w:val="auto"/>
        </w:rPr>
        <w:t xml:space="preserve"> and from the Councils </w:t>
      </w:r>
      <w:proofErr w:type="spellStart"/>
      <w:r>
        <w:rPr>
          <w:rFonts w:cs="Arial"/>
          <w:color w:val="auto"/>
        </w:rPr>
        <w:t>homelesssness</w:t>
      </w:r>
      <w:proofErr w:type="spellEnd"/>
      <w:r>
        <w:rPr>
          <w:rFonts w:cs="Arial"/>
          <w:color w:val="auto"/>
        </w:rPr>
        <w:t xml:space="preserve"> reserve until this is exhausted in 2022-23.  An alternative funding stream will be required from thereon if Floyds Row is to remain open. </w:t>
      </w:r>
    </w:p>
    <w:p w:rsidR="004E2FB5" w:rsidRPr="004149D1" w:rsidRDefault="004E2FB5" w:rsidP="004E2FB5">
      <w:pPr>
        <w:pStyle w:val="ListParagraph"/>
        <w:numPr>
          <w:ilvl w:val="0"/>
          <w:numId w:val="0"/>
        </w:numPr>
        <w:ind w:left="360"/>
        <w:rPr>
          <w:rFonts w:cs="Arial"/>
          <w:color w:val="auto"/>
        </w:rPr>
      </w:pPr>
    </w:p>
    <w:p w:rsidR="004E2FB5" w:rsidRPr="004149D1" w:rsidRDefault="004E2FB5" w:rsidP="004E2FB5">
      <w:pPr>
        <w:pStyle w:val="ListParagraph"/>
        <w:numPr>
          <w:ilvl w:val="0"/>
          <w:numId w:val="11"/>
        </w:numPr>
        <w:spacing w:after="0"/>
        <w:rPr>
          <w:rFonts w:cs="Arial"/>
          <w:color w:val="auto"/>
        </w:rPr>
      </w:pPr>
      <w:r w:rsidRPr="004149D1">
        <w:rPr>
          <w:rFonts w:cs="Arial"/>
          <w:color w:val="auto"/>
        </w:rPr>
        <w:t xml:space="preserve">In light of the increased costs associated with project delivery, </w:t>
      </w:r>
      <w:r w:rsidR="001043BC">
        <w:rPr>
          <w:rFonts w:cs="Arial"/>
          <w:color w:val="auto"/>
        </w:rPr>
        <w:t>the Council is</w:t>
      </w:r>
      <w:r w:rsidRPr="004149D1">
        <w:rPr>
          <w:rFonts w:cs="Arial"/>
          <w:color w:val="auto"/>
        </w:rPr>
        <w:t xml:space="preserve"> pursuing a number of potential routes for additional funding:</w:t>
      </w:r>
    </w:p>
    <w:p w:rsidR="004E2FB5" w:rsidRDefault="004E2FB5" w:rsidP="004E2FB5">
      <w:pPr>
        <w:pStyle w:val="ListParagraph"/>
        <w:numPr>
          <w:ilvl w:val="0"/>
          <w:numId w:val="0"/>
        </w:numPr>
        <w:spacing w:after="0"/>
        <w:ind w:left="360"/>
        <w:rPr>
          <w:rFonts w:cs="Arial"/>
          <w:color w:val="auto"/>
        </w:rPr>
      </w:pPr>
    </w:p>
    <w:p w:rsidR="00ED3F9E" w:rsidRPr="002917E1" w:rsidRDefault="002917E1" w:rsidP="002917E1">
      <w:pPr>
        <w:spacing w:after="0"/>
        <w:rPr>
          <w:rFonts w:cs="Arial"/>
          <w:b/>
          <w:color w:val="auto"/>
          <w:u w:val="single"/>
        </w:rPr>
      </w:pPr>
      <w:r>
        <w:rPr>
          <w:rFonts w:cs="Arial"/>
          <w:b/>
          <w:color w:val="auto"/>
          <w:u w:val="single"/>
        </w:rPr>
        <w:t xml:space="preserve">i)  </w:t>
      </w:r>
      <w:r w:rsidR="00ED3F9E" w:rsidRPr="002917E1">
        <w:rPr>
          <w:rFonts w:cs="Arial"/>
          <w:b/>
          <w:color w:val="auto"/>
          <w:u w:val="single"/>
        </w:rPr>
        <w:t>Capital</w:t>
      </w:r>
    </w:p>
    <w:p w:rsidR="00ED3F9E" w:rsidRDefault="00ED3F9E" w:rsidP="002917E1">
      <w:pPr>
        <w:spacing w:after="0"/>
        <w:ind w:left="426" w:hanging="426"/>
        <w:rPr>
          <w:rFonts w:cs="Arial"/>
          <w:color w:val="auto"/>
        </w:rPr>
      </w:pPr>
    </w:p>
    <w:p w:rsidR="00ED3F9E" w:rsidRPr="002917E1" w:rsidRDefault="00ED3F9E" w:rsidP="002917E1">
      <w:pPr>
        <w:spacing w:after="0"/>
        <w:ind w:left="786" w:hanging="426"/>
        <w:rPr>
          <w:rFonts w:cs="Arial"/>
          <w:color w:val="auto"/>
        </w:rPr>
      </w:pPr>
      <w:r>
        <w:rPr>
          <w:rFonts w:cs="Arial"/>
          <w:color w:val="auto"/>
        </w:rPr>
        <w:t>The identified funding gap of £958k is likely to reduce</w:t>
      </w:r>
      <w:r w:rsidR="00817BE6">
        <w:rPr>
          <w:rFonts w:cs="Arial"/>
          <w:color w:val="auto"/>
        </w:rPr>
        <w:t>, if all of some of these deliver</w:t>
      </w:r>
      <w:r w:rsidR="00E450E3">
        <w:rPr>
          <w:rFonts w:cs="Arial"/>
          <w:color w:val="auto"/>
        </w:rPr>
        <w:t>:</w:t>
      </w:r>
    </w:p>
    <w:p w:rsidR="00ED3F9E" w:rsidRPr="002917E1" w:rsidRDefault="00ED3F9E" w:rsidP="004E2FB5">
      <w:pPr>
        <w:pStyle w:val="ListParagraph"/>
        <w:numPr>
          <w:ilvl w:val="0"/>
          <w:numId w:val="0"/>
        </w:numPr>
        <w:spacing w:after="0"/>
        <w:ind w:left="360"/>
        <w:rPr>
          <w:rFonts w:cs="Arial"/>
          <w:b/>
          <w:color w:val="auto"/>
        </w:rPr>
      </w:pPr>
    </w:p>
    <w:p w:rsidR="004E2FB5" w:rsidRPr="002917E1" w:rsidRDefault="004E2FB5" w:rsidP="004E2FB5">
      <w:pPr>
        <w:pStyle w:val="ListParagraph"/>
        <w:numPr>
          <w:ilvl w:val="0"/>
          <w:numId w:val="15"/>
        </w:numPr>
        <w:spacing w:after="0"/>
        <w:contextualSpacing/>
        <w:rPr>
          <w:rFonts w:cs="Arial"/>
          <w:b/>
          <w:color w:val="auto"/>
        </w:rPr>
      </w:pPr>
      <w:r w:rsidRPr="002917E1">
        <w:rPr>
          <w:rFonts w:cs="Arial"/>
          <w:b/>
          <w:color w:val="auto"/>
        </w:rPr>
        <w:t xml:space="preserve">Further MHCLG grant </w:t>
      </w:r>
    </w:p>
    <w:p w:rsidR="004E2FB5" w:rsidRDefault="002A7B15" w:rsidP="004E2FB5">
      <w:pPr>
        <w:pStyle w:val="ListParagraph"/>
        <w:numPr>
          <w:ilvl w:val="0"/>
          <w:numId w:val="0"/>
        </w:numPr>
        <w:tabs>
          <w:tab w:val="clear" w:pos="426"/>
        </w:tabs>
        <w:spacing w:after="0"/>
        <w:ind w:left="780"/>
        <w:contextualSpacing/>
        <w:rPr>
          <w:rFonts w:cs="Arial"/>
          <w:color w:val="auto"/>
        </w:rPr>
      </w:pPr>
      <w:r w:rsidRPr="002917E1">
        <w:rPr>
          <w:rFonts w:cs="Arial"/>
          <w:color w:val="auto"/>
        </w:rPr>
        <w:t xml:space="preserve">The Leader of the Council has </w:t>
      </w:r>
      <w:r w:rsidR="004E2FB5" w:rsidRPr="002917E1">
        <w:rPr>
          <w:rFonts w:cs="Arial"/>
          <w:color w:val="auto"/>
        </w:rPr>
        <w:t xml:space="preserve">written to Robert </w:t>
      </w:r>
      <w:proofErr w:type="spellStart"/>
      <w:r w:rsidR="004E2FB5" w:rsidRPr="002917E1">
        <w:rPr>
          <w:rFonts w:cs="Arial"/>
          <w:color w:val="auto"/>
        </w:rPr>
        <w:t>Jenrick</w:t>
      </w:r>
      <w:proofErr w:type="spellEnd"/>
      <w:r w:rsidR="004E2FB5" w:rsidRPr="002917E1">
        <w:rPr>
          <w:rFonts w:cs="Arial"/>
          <w:color w:val="auto"/>
        </w:rPr>
        <w:t xml:space="preserve"> MP, the new Secretary of State at MHCLG, outlining the full costs of the scheme and requesting further contribution. Officials have indicated that they expect that further funding will be made</w:t>
      </w:r>
      <w:r w:rsidR="004E2FB5" w:rsidRPr="004149D1">
        <w:rPr>
          <w:rFonts w:cs="Arial"/>
          <w:color w:val="auto"/>
        </w:rPr>
        <w:t xml:space="preserve"> available for 20</w:t>
      </w:r>
      <w:r w:rsidR="001043BC">
        <w:rPr>
          <w:rFonts w:cs="Arial"/>
          <w:color w:val="auto"/>
        </w:rPr>
        <w:t>20</w:t>
      </w:r>
      <w:r w:rsidR="004E2FB5" w:rsidRPr="004149D1">
        <w:rPr>
          <w:rFonts w:cs="Arial"/>
          <w:color w:val="auto"/>
        </w:rPr>
        <w:t>/</w:t>
      </w:r>
      <w:r w:rsidR="001043BC">
        <w:rPr>
          <w:rFonts w:cs="Arial"/>
          <w:color w:val="auto"/>
        </w:rPr>
        <w:t>20</w:t>
      </w:r>
      <w:r w:rsidR="004E2FB5" w:rsidRPr="004149D1">
        <w:rPr>
          <w:rFonts w:cs="Arial"/>
          <w:color w:val="auto"/>
        </w:rPr>
        <w:t xml:space="preserve">21 ahead of consideration for longer term funding as part of </w:t>
      </w:r>
      <w:r w:rsidRPr="004149D1">
        <w:rPr>
          <w:rFonts w:cs="Arial"/>
          <w:color w:val="auto"/>
        </w:rPr>
        <w:t xml:space="preserve">the comprehensive spending review in </w:t>
      </w:r>
      <w:r w:rsidR="001043BC">
        <w:rPr>
          <w:rFonts w:cs="Arial"/>
          <w:color w:val="auto"/>
        </w:rPr>
        <w:t>20</w:t>
      </w:r>
      <w:r w:rsidRPr="004149D1">
        <w:rPr>
          <w:rFonts w:cs="Arial"/>
          <w:color w:val="auto"/>
        </w:rPr>
        <w:t>21/</w:t>
      </w:r>
      <w:r w:rsidR="001043BC">
        <w:rPr>
          <w:rFonts w:cs="Arial"/>
          <w:color w:val="auto"/>
        </w:rPr>
        <w:t>20</w:t>
      </w:r>
      <w:r w:rsidRPr="004149D1">
        <w:rPr>
          <w:rFonts w:cs="Arial"/>
          <w:color w:val="auto"/>
        </w:rPr>
        <w:t>22.</w:t>
      </w:r>
      <w:r w:rsidR="00E3780B">
        <w:rPr>
          <w:rFonts w:cs="Arial"/>
          <w:color w:val="auto"/>
        </w:rPr>
        <w:t xml:space="preserve">  Nationally, a sum comprising of more than the national </w:t>
      </w:r>
      <w:r w:rsidR="001043BC">
        <w:rPr>
          <w:rFonts w:cs="Arial"/>
          <w:color w:val="auto"/>
        </w:rPr>
        <w:t>Rough Sleeper Initiative (</w:t>
      </w:r>
      <w:r w:rsidR="00E3780B">
        <w:rPr>
          <w:rFonts w:cs="Arial"/>
          <w:color w:val="auto"/>
        </w:rPr>
        <w:t>RSI</w:t>
      </w:r>
      <w:r w:rsidR="001043BC">
        <w:rPr>
          <w:rFonts w:cs="Arial"/>
          <w:color w:val="auto"/>
        </w:rPr>
        <w:t>)</w:t>
      </w:r>
      <w:r w:rsidR="00E3780B">
        <w:rPr>
          <w:rFonts w:cs="Arial"/>
          <w:color w:val="auto"/>
        </w:rPr>
        <w:t xml:space="preserve"> and </w:t>
      </w:r>
      <w:r w:rsidR="001043BC">
        <w:rPr>
          <w:rFonts w:cs="Arial"/>
          <w:color w:val="auto"/>
        </w:rPr>
        <w:t>Rapid rehousing Pathway (</w:t>
      </w:r>
      <w:r w:rsidR="00E3780B">
        <w:rPr>
          <w:rFonts w:cs="Arial"/>
          <w:color w:val="auto"/>
        </w:rPr>
        <w:t>RRP</w:t>
      </w:r>
      <w:r w:rsidR="001043BC">
        <w:rPr>
          <w:rFonts w:cs="Arial"/>
          <w:color w:val="auto"/>
        </w:rPr>
        <w:t>)</w:t>
      </w:r>
      <w:r w:rsidR="00E3780B">
        <w:rPr>
          <w:rFonts w:cs="Arial"/>
          <w:color w:val="auto"/>
        </w:rPr>
        <w:t xml:space="preserve"> funding streams has been provided for the 20</w:t>
      </w:r>
      <w:r w:rsidR="001043BC">
        <w:rPr>
          <w:rFonts w:cs="Arial"/>
          <w:color w:val="auto"/>
        </w:rPr>
        <w:t>20</w:t>
      </w:r>
      <w:r w:rsidR="00E3780B">
        <w:rPr>
          <w:rFonts w:cs="Arial"/>
          <w:color w:val="auto"/>
        </w:rPr>
        <w:t>/</w:t>
      </w:r>
      <w:r w:rsidR="001043BC">
        <w:rPr>
          <w:rFonts w:cs="Arial"/>
          <w:color w:val="auto"/>
        </w:rPr>
        <w:t>20</w:t>
      </w:r>
      <w:r w:rsidR="00E3780B">
        <w:rPr>
          <w:rFonts w:cs="Arial"/>
          <w:color w:val="auto"/>
        </w:rPr>
        <w:t>21 year, suggesting that a continuance of current programmes at current rates may be possible.</w:t>
      </w:r>
      <w:r w:rsidR="00817BE6">
        <w:rPr>
          <w:rFonts w:cs="Arial"/>
          <w:color w:val="auto"/>
        </w:rPr>
        <w:t xml:space="preserve">  £275k capital funding has been provided to date.</w:t>
      </w:r>
    </w:p>
    <w:p w:rsidR="002917E1" w:rsidRPr="004149D1" w:rsidRDefault="002917E1" w:rsidP="004E2FB5">
      <w:pPr>
        <w:pStyle w:val="ListParagraph"/>
        <w:numPr>
          <w:ilvl w:val="0"/>
          <w:numId w:val="0"/>
        </w:numPr>
        <w:tabs>
          <w:tab w:val="clear" w:pos="426"/>
        </w:tabs>
        <w:spacing w:after="0"/>
        <w:ind w:left="780"/>
        <w:contextualSpacing/>
        <w:rPr>
          <w:rFonts w:cs="Arial"/>
          <w:color w:val="auto"/>
        </w:rPr>
      </w:pPr>
    </w:p>
    <w:p w:rsidR="00817BE6" w:rsidRDefault="00817BE6" w:rsidP="00817BE6">
      <w:pPr>
        <w:pStyle w:val="ListParagraph"/>
        <w:numPr>
          <w:ilvl w:val="0"/>
          <w:numId w:val="15"/>
        </w:numPr>
        <w:spacing w:after="0"/>
        <w:contextualSpacing/>
        <w:rPr>
          <w:rFonts w:cs="Arial"/>
          <w:b/>
          <w:color w:val="auto"/>
        </w:rPr>
      </w:pPr>
      <w:r>
        <w:rPr>
          <w:rFonts w:cs="Arial"/>
          <w:b/>
          <w:color w:val="auto"/>
        </w:rPr>
        <w:t xml:space="preserve">Fundraising </w:t>
      </w:r>
    </w:p>
    <w:p w:rsidR="00817BE6" w:rsidRDefault="00817BE6" w:rsidP="002917E1">
      <w:pPr>
        <w:pStyle w:val="ListParagraph"/>
        <w:numPr>
          <w:ilvl w:val="0"/>
          <w:numId w:val="0"/>
        </w:numPr>
        <w:spacing w:after="0"/>
        <w:ind w:left="720"/>
        <w:contextualSpacing/>
        <w:rPr>
          <w:rFonts w:cs="Arial"/>
          <w:color w:val="auto"/>
        </w:rPr>
      </w:pPr>
      <w:r w:rsidRPr="002917E1">
        <w:rPr>
          <w:rFonts w:cs="Arial"/>
          <w:color w:val="auto"/>
        </w:rPr>
        <w:t>Fundraising from the Oxfordshire Community Foundation; St Mungo’s and other community options are expected to deliver additional funding into the project.  Two easily identified areas for this, at the lowest scale, would be to fund the fit-out (£50k) and landscaping work</w:t>
      </w:r>
      <w:r>
        <w:rPr>
          <w:rFonts w:cs="Arial"/>
          <w:color w:val="auto"/>
        </w:rPr>
        <w:t xml:space="preserve"> cost</w:t>
      </w:r>
      <w:r w:rsidRPr="002917E1">
        <w:rPr>
          <w:rFonts w:cs="Arial"/>
          <w:color w:val="auto"/>
        </w:rPr>
        <w:t>s (£25k)</w:t>
      </w:r>
    </w:p>
    <w:p w:rsidR="00817BE6" w:rsidRPr="002917E1" w:rsidRDefault="00817BE6" w:rsidP="002917E1">
      <w:pPr>
        <w:pStyle w:val="ListParagraph"/>
        <w:numPr>
          <w:ilvl w:val="0"/>
          <w:numId w:val="0"/>
        </w:numPr>
        <w:spacing w:after="0"/>
        <w:ind w:left="720"/>
        <w:contextualSpacing/>
        <w:rPr>
          <w:rFonts w:cs="Arial"/>
          <w:b/>
          <w:color w:val="auto"/>
        </w:rPr>
      </w:pPr>
    </w:p>
    <w:p w:rsidR="00817BE6" w:rsidRDefault="00817BE6" w:rsidP="004E2FB5">
      <w:pPr>
        <w:pStyle w:val="ListParagraph"/>
        <w:numPr>
          <w:ilvl w:val="0"/>
          <w:numId w:val="15"/>
        </w:numPr>
        <w:spacing w:after="0"/>
        <w:contextualSpacing/>
        <w:rPr>
          <w:rFonts w:cs="Arial"/>
          <w:b/>
          <w:color w:val="auto"/>
        </w:rPr>
      </w:pPr>
      <w:r>
        <w:rPr>
          <w:rFonts w:cs="Arial"/>
          <w:b/>
          <w:color w:val="auto"/>
        </w:rPr>
        <w:t>Contingencies</w:t>
      </w:r>
    </w:p>
    <w:p w:rsidR="002917E1" w:rsidRDefault="00817BE6" w:rsidP="002917E1">
      <w:pPr>
        <w:spacing w:after="0"/>
        <w:ind w:left="720"/>
        <w:contextualSpacing/>
        <w:rPr>
          <w:rFonts w:cs="Arial"/>
          <w:color w:val="auto"/>
        </w:rPr>
      </w:pPr>
      <w:r w:rsidRPr="002917E1">
        <w:rPr>
          <w:rFonts w:cs="Arial"/>
          <w:color w:val="auto"/>
        </w:rPr>
        <w:t>Provision for contingencies has been included for phase 1 and phase 2 of the construction project, however, as indicated by the risk register, extensive survey; opening-up; and strip-out work has already been undertaken to minimise this risk.  Any contingency not spent reduces the capital requirement of the project</w:t>
      </w:r>
    </w:p>
    <w:p w:rsidR="00E450E3" w:rsidRDefault="00E450E3" w:rsidP="002917E1">
      <w:pPr>
        <w:spacing w:after="0"/>
        <w:contextualSpacing/>
        <w:rPr>
          <w:rFonts w:cs="Arial"/>
          <w:color w:val="auto"/>
        </w:rPr>
      </w:pPr>
    </w:p>
    <w:p w:rsidR="002917E1" w:rsidRDefault="002917E1" w:rsidP="002917E1">
      <w:pPr>
        <w:spacing w:after="0"/>
        <w:contextualSpacing/>
        <w:rPr>
          <w:rFonts w:cs="Arial"/>
          <w:b/>
          <w:color w:val="auto"/>
          <w:u w:val="single"/>
        </w:rPr>
      </w:pPr>
      <w:r>
        <w:rPr>
          <w:rFonts w:cs="Arial"/>
          <w:b/>
          <w:color w:val="auto"/>
          <w:u w:val="single"/>
        </w:rPr>
        <w:t xml:space="preserve">ii)  </w:t>
      </w:r>
      <w:r w:rsidRPr="002917E1">
        <w:rPr>
          <w:rFonts w:cs="Arial"/>
          <w:b/>
          <w:color w:val="auto"/>
          <w:u w:val="single"/>
        </w:rPr>
        <w:t>Revenue</w:t>
      </w:r>
    </w:p>
    <w:p w:rsidR="002917E1" w:rsidRPr="002917E1" w:rsidRDefault="002917E1" w:rsidP="002917E1">
      <w:pPr>
        <w:spacing w:after="0"/>
        <w:contextualSpacing/>
        <w:rPr>
          <w:rFonts w:cs="Arial"/>
          <w:color w:val="auto"/>
        </w:rPr>
      </w:pPr>
    </w:p>
    <w:p w:rsidR="002917E1" w:rsidRPr="001C3A6C" w:rsidRDefault="00E450E3" w:rsidP="001C3A6C">
      <w:pPr>
        <w:spacing w:after="0"/>
        <w:ind w:left="360"/>
        <w:contextualSpacing/>
        <w:rPr>
          <w:rFonts w:cs="Arial"/>
          <w:color w:val="auto"/>
        </w:rPr>
      </w:pPr>
      <w:r>
        <w:rPr>
          <w:rFonts w:cs="Arial"/>
          <w:color w:val="auto"/>
        </w:rPr>
        <w:t>The identified funding gap of £785k pa</w:t>
      </w:r>
      <w:r w:rsidR="002917E1">
        <w:rPr>
          <w:rFonts w:cs="Arial"/>
          <w:color w:val="auto"/>
        </w:rPr>
        <w:t>,</w:t>
      </w:r>
      <w:r>
        <w:rPr>
          <w:rFonts w:cs="Arial"/>
          <w:color w:val="auto"/>
        </w:rPr>
        <w:t xml:space="preserve"> from year 3, is likely to reduce if all of some of these deliver:</w:t>
      </w:r>
    </w:p>
    <w:p w:rsidR="00E450E3" w:rsidRPr="002917E1" w:rsidRDefault="00E450E3" w:rsidP="002917E1">
      <w:pPr>
        <w:spacing w:after="0"/>
        <w:ind w:left="720"/>
        <w:contextualSpacing/>
        <w:rPr>
          <w:rFonts w:cs="Arial"/>
          <w:b/>
          <w:color w:val="auto"/>
        </w:rPr>
      </w:pPr>
    </w:p>
    <w:p w:rsidR="006F074B" w:rsidRPr="002917E1" w:rsidRDefault="006F074B" w:rsidP="002917E1">
      <w:pPr>
        <w:spacing w:after="0"/>
        <w:ind w:left="426" w:hanging="66"/>
        <w:contextualSpacing/>
        <w:rPr>
          <w:rFonts w:cs="Arial"/>
          <w:color w:val="auto"/>
        </w:rPr>
      </w:pPr>
      <w:r w:rsidRPr="002917E1">
        <w:rPr>
          <w:rFonts w:cs="Arial"/>
          <w:b/>
          <w:color w:val="auto"/>
        </w:rPr>
        <w:t>a)  Further MHCLG grant</w:t>
      </w:r>
      <w:r w:rsidRPr="002917E1">
        <w:rPr>
          <w:rFonts w:cs="Arial"/>
          <w:color w:val="auto"/>
        </w:rPr>
        <w:t xml:space="preserve"> </w:t>
      </w:r>
    </w:p>
    <w:p w:rsidR="002917E1" w:rsidRDefault="006F074B" w:rsidP="002917E1">
      <w:pPr>
        <w:spacing w:after="0"/>
        <w:ind w:left="720"/>
        <w:contextualSpacing/>
        <w:rPr>
          <w:rFonts w:cs="Arial"/>
          <w:color w:val="auto"/>
        </w:rPr>
      </w:pPr>
      <w:r>
        <w:rPr>
          <w:rFonts w:cs="Arial"/>
          <w:color w:val="auto"/>
        </w:rPr>
        <w:t xml:space="preserve">As indicated above, further funding has already been requested from the MHCLG for Floyds Row.  Nationally, the funding for rough sleeping and single </w:t>
      </w:r>
      <w:r>
        <w:rPr>
          <w:rFonts w:cs="Arial"/>
          <w:color w:val="auto"/>
        </w:rPr>
        <w:lastRenderedPageBreak/>
        <w:t xml:space="preserve">homelessness has been maintained (and slightly increased overall) for 20/21, and we expect to work with the MHCLG </w:t>
      </w:r>
      <w:r w:rsidR="007C41E7">
        <w:rPr>
          <w:rFonts w:cs="Arial"/>
          <w:color w:val="auto"/>
        </w:rPr>
        <w:t xml:space="preserve">to co-produce </w:t>
      </w:r>
      <w:r>
        <w:rPr>
          <w:rFonts w:cs="Arial"/>
          <w:color w:val="auto"/>
        </w:rPr>
        <w:t xml:space="preserve">a proposal this </w:t>
      </w:r>
      <w:proofErr w:type="gramStart"/>
      <w:r>
        <w:rPr>
          <w:rFonts w:cs="Arial"/>
          <w:color w:val="auto"/>
        </w:rPr>
        <w:t>Autumn</w:t>
      </w:r>
      <w:proofErr w:type="gramEnd"/>
      <w:r>
        <w:rPr>
          <w:rFonts w:cs="Arial"/>
          <w:color w:val="auto"/>
        </w:rPr>
        <w:t>.  £452k has already been awarded for Floyds Row/ interim service revenue costs in 19/20 from the RRP fund.  The continuance of RSI funding is also possible in addition</w:t>
      </w:r>
      <w:r w:rsidR="00DA43DB">
        <w:rPr>
          <w:rFonts w:cs="Arial"/>
          <w:color w:val="auto"/>
        </w:rPr>
        <w:t xml:space="preserve"> to this (c</w:t>
      </w:r>
      <w:proofErr w:type="gramStart"/>
      <w:r w:rsidR="00DA43DB">
        <w:rPr>
          <w:rFonts w:cs="Arial"/>
          <w:color w:val="auto"/>
        </w:rPr>
        <w:t>.£</w:t>
      </w:r>
      <w:proofErr w:type="gramEnd"/>
      <w:r w:rsidR="00DA43DB">
        <w:rPr>
          <w:rFonts w:cs="Arial"/>
          <w:color w:val="auto"/>
        </w:rPr>
        <w:t>500k awarded for 19/20)</w:t>
      </w:r>
      <w:r w:rsidR="007C41E7">
        <w:rPr>
          <w:rFonts w:cs="Arial"/>
          <w:color w:val="auto"/>
        </w:rPr>
        <w:t xml:space="preserve"> and likely to be considered together</w:t>
      </w:r>
      <w:r>
        <w:rPr>
          <w:rFonts w:cs="Arial"/>
          <w:color w:val="auto"/>
        </w:rPr>
        <w:t xml:space="preserve">.  </w:t>
      </w:r>
    </w:p>
    <w:p w:rsidR="002917E1" w:rsidRDefault="002917E1" w:rsidP="002917E1">
      <w:pPr>
        <w:spacing w:after="0"/>
        <w:ind w:left="720"/>
        <w:contextualSpacing/>
        <w:rPr>
          <w:rFonts w:cs="Arial"/>
          <w:color w:val="auto"/>
        </w:rPr>
      </w:pPr>
    </w:p>
    <w:p w:rsidR="006F074B" w:rsidRPr="002917E1" w:rsidRDefault="002917E1" w:rsidP="002917E1">
      <w:pPr>
        <w:spacing w:after="0"/>
        <w:ind w:left="720"/>
        <w:contextualSpacing/>
        <w:rPr>
          <w:rFonts w:cs="Arial"/>
          <w:b/>
          <w:color w:val="auto"/>
        </w:rPr>
      </w:pPr>
      <w:r w:rsidRPr="002917E1">
        <w:rPr>
          <w:rFonts w:cs="Arial"/>
          <w:b/>
          <w:color w:val="auto"/>
        </w:rPr>
        <w:t xml:space="preserve">b) </w:t>
      </w:r>
      <w:r w:rsidR="004E2FB5" w:rsidRPr="002917E1">
        <w:rPr>
          <w:rFonts w:cs="Arial"/>
          <w:b/>
          <w:color w:val="auto"/>
        </w:rPr>
        <w:t>Contributions from Countywide partners</w:t>
      </w:r>
    </w:p>
    <w:p w:rsidR="002917E1" w:rsidRPr="002917E1" w:rsidRDefault="002A7B15" w:rsidP="002917E1">
      <w:pPr>
        <w:spacing w:after="0"/>
        <w:ind w:left="720"/>
        <w:contextualSpacing/>
        <w:rPr>
          <w:rFonts w:cs="Arial"/>
          <w:color w:val="auto"/>
        </w:rPr>
      </w:pPr>
      <w:r w:rsidRPr="002917E1">
        <w:rPr>
          <w:rFonts w:cs="Arial"/>
          <w:color w:val="auto"/>
        </w:rPr>
        <w:t xml:space="preserve">The Chief Executive has asked the County Council and Oxfordshire District Councils to also consider each making a </w:t>
      </w:r>
      <w:r w:rsidR="004E2FB5" w:rsidRPr="002917E1">
        <w:rPr>
          <w:rFonts w:cs="Arial"/>
          <w:color w:val="auto"/>
        </w:rPr>
        <w:t>contribution</w:t>
      </w:r>
      <w:r w:rsidRPr="002917E1">
        <w:rPr>
          <w:rFonts w:cs="Arial"/>
          <w:color w:val="auto"/>
        </w:rPr>
        <w:t xml:space="preserve"> to this project for at least two years, in recognition of the countywide impact of rough sleeping and the services that are to be developed at this site.  The OCCG (Oxfordshire Clinical Commissioning Group) has also been asked to consider this request.</w:t>
      </w:r>
    </w:p>
    <w:p w:rsidR="002917E1" w:rsidRDefault="002917E1" w:rsidP="002917E1">
      <w:pPr>
        <w:spacing w:after="0"/>
        <w:contextualSpacing/>
        <w:rPr>
          <w:rFonts w:cs="Arial"/>
          <w:color w:val="auto"/>
        </w:rPr>
      </w:pPr>
    </w:p>
    <w:p w:rsidR="004E2FB5" w:rsidRPr="002917E1" w:rsidRDefault="00E450E3" w:rsidP="002917E1">
      <w:pPr>
        <w:spacing w:after="0"/>
        <w:ind w:left="360" w:firstLine="360"/>
        <w:contextualSpacing/>
        <w:rPr>
          <w:rFonts w:cs="Arial"/>
          <w:b/>
          <w:color w:val="auto"/>
        </w:rPr>
      </w:pPr>
      <w:r>
        <w:rPr>
          <w:rFonts w:cs="Arial"/>
          <w:b/>
          <w:color w:val="auto"/>
        </w:rPr>
        <w:t xml:space="preserve">c) </w:t>
      </w:r>
      <w:r w:rsidR="002A7B15" w:rsidRPr="002917E1">
        <w:rPr>
          <w:rFonts w:cs="Arial"/>
          <w:b/>
          <w:color w:val="auto"/>
        </w:rPr>
        <w:t>Fundraising S</w:t>
      </w:r>
      <w:r w:rsidR="004E2FB5" w:rsidRPr="002917E1">
        <w:rPr>
          <w:rFonts w:cs="Arial"/>
          <w:b/>
          <w:color w:val="auto"/>
        </w:rPr>
        <w:t>trategy</w:t>
      </w:r>
    </w:p>
    <w:p w:rsidR="004E2FB5" w:rsidRDefault="002A7B15" w:rsidP="002917E1">
      <w:pPr>
        <w:spacing w:after="0"/>
        <w:ind w:left="720"/>
        <w:contextualSpacing/>
        <w:rPr>
          <w:rFonts w:cs="Arial"/>
          <w:color w:val="auto"/>
        </w:rPr>
      </w:pPr>
      <w:r w:rsidRPr="004149D1">
        <w:rPr>
          <w:rFonts w:cs="Arial"/>
          <w:color w:val="auto"/>
        </w:rPr>
        <w:t xml:space="preserve">The Council is </w:t>
      </w:r>
      <w:r w:rsidR="004E2FB5" w:rsidRPr="004149D1">
        <w:rPr>
          <w:rFonts w:cs="Arial"/>
          <w:color w:val="auto"/>
        </w:rPr>
        <w:t xml:space="preserve">developing a fund raising strategy with St Mungo’s and </w:t>
      </w:r>
      <w:r w:rsidRPr="004149D1">
        <w:rPr>
          <w:rFonts w:cs="Arial"/>
          <w:color w:val="auto"/>
        </w:rPr>
        <w:t>the Oxfordshire Community Foundation (</w:t>
      </w:r>
      <w:r w:rsidR="004E2FB5" w:rsidRPr="004149D1">
        <w:rPr>
          <w:rFonts w:cs="Arial"/>
          <w:color w:val="auto"/>
        </w:rPr>
        <w:t>OCF</w:t>
      </w:r>
      <w:r w:rsidRPr="004149D1">
        <w:rPr>
          <w:rFonts w:cs="Arial"/>
          <w:color w:val="auto"/>
        </w:rPr>
        <w:t>)</w:t>
      </w:r>
      <w:r w:rsidR="004E2FB5" w:rsidRPr="004149D1">
        <w:rPr>
          <w:rFonts w:cs="Arial"/>
          <w:color w:val="auto"/>
        </w:rPr>
        <w:t xml:space="preserve"> to seek contributions from donors. St Mungo</w:t>
      </w:r>
      <w:r w:rsidR="00560C8C" w:rsidRPr="004149D1">
        <w:rPr>
          <w:rFonts w:cs="Arial"/>
          <w:color w:val="auto"/>
        </w:rPr>
        <w:t>’</w:t>
      </w:r>
      <w:r w:rsidR="004E2FB5" w:rsidRPr="004149D1">
        <w:rPr>
          <w:rFonts w:cs="Arial"/>
          <w:color w:val="auto"/>
        </w:rPr>
        <w:t>s have already agreed to fund three posts – equivalent to c</w:t>
      </w:r>
      <w:proofErr w:type="gramStart"/>
      <w:r w:rsidR="004E2FB5" w:rsidRPr="004149D1">
        <w:rPr>
          <w:rFonts w:cs="Arial"/>
          <w:color w:val="auto"/>
        </w:rPr>
        <w:t>.</w:t>
      </w:r>
      <w:r w:rsidRPr="004149D1">
        <w:rPr>
          <w:rFonts w:cs="Arial"/>
          <w:color w:val="auto"/>
        </w:rPr>
        <w:t>£</w:t>
      </w:r>
      <w:proofErr w:type="gramEnd"/>
      <w:r w:rsidR="004E2FB5" w:rsidRPr="004149D1">
        <w:rPr>
          <w:rFonts w:cs="Arial"/>
          <w:color w:val="auto"/>
        </w:rPr>
        <w:t xml:space="preserve">120k per year. </w:t>
      </w:r>
      <w:r w:rsidR="00E14AAC" w:rsidRPr="004149D1">
        <w:rPr>
          <w:rFonts w:cs="Arial"/>
          <w:color w:val="auto"/>
        </w:rPr>
        <w:t xml:space="preserve">The Council has committed to developing </w:t>
      </w:r>
      <w:r w:rsidR="004E2FB5" w:rsidRPr="004149D1">
        <w:rPr>
          <w:rFonts w:cs="Arial"/>
          <w:color w:val="auto"/>
        </w:rPr>
        <w:t xml:space="preserve">a longer term strategic partnership with St Mungo’s and for a leasing arrangement that would facilitate further fund raising </w:t>
      </w:r>
      <w:r w:rsidR="00E14AAC" w:rsidRPr="004149D1">
        <w:rPr>
          <w:rFonts w:cs="Arial"/>
          <w:color w:val="auto"/>
        </w:rPr>
        <w:t xml:space="preserve">by St Mungo’s, with consideration </w:t>
      </w:r>
      <w:r w:rsidR="00003BF5">
        <w:rPr>
          <w:rFonts w:cs="Arial"/>
          <w:color w:val="auto"/>
        </w:rPr>
        <w:t>of</w:t>
      </w:r>
      <w:r w:rsidR="00E14AAC" w:rsidRPr="004149D1">
        <w:rPr>
          <w:rFonts w:cs="Arial"/>
          <w:color w:val="auto"/>
        </w:rPr>
        <w:t xml:space="preserve"> </w:t>
      </w:r>
      <w:r w:rsidR="004E2FB5" w:rsidRPr="004149D1">
        <w:rPr>
          <w:rFonts w:cs="Arial"/>
          <w:color w:val="auto"/>
        </w:rPr>
        <w:t xml:space="preserve">sharing </w:t>
      </w:r>
      <w:r w:rsidR="00E14AAC" w:rsidRPr="004149D1">
        <w:rPr>
          <w:rFonts w:cs="Arial"/>
          <w:color w:val="auto"/>
        </w:rPr>
        <w:t xml:space="preserve">some of the </w:t>
      </w:r>
      <w:r w:rsidR="004E2FB5" w:rsidRPr="004149D1">
        <w:rPr>
          <w:rFonts w:cs="Arial"/>
          <w:color w:val="auto"/>
        </w:rPr>
        <w:t>financial risk</w:t>
      </w:r>
      <w:r w:rsidR="00E14AAC" w:rsidRPr="004149D1">
        <w:rPr>
          <w:rFonts w:cs="Arial"/>
          <w:color w:val="auto"/>
        </w:rPr>
        <w:t xml:space="preserve"> of these funding streams being insufficient to meet identified funding gaps</w:t>
      </w:r>
      <w:r w:rsidR="004E2FB5" w:rsidRPr="004149D1">
        <w:rPr>
          <w:rFonts w:cs="Arial"/>
          <w:color w:val="auto"/>
        </w:rPr>
        <w:t xml:space="preserve">. </w:t>
      </w:r>
    </w:p>
    <w:p w:rsidR="00E450E3" w:rsidRPr="004149D1" w:rsidRDefault="00E450E3" w:rsidP="002917E1">
      <w:pPr>
        <w:spacing w:after="0"/>
        <w:ind w:left="720"/>
        <w:contextualSpacing/>
        <w:rPr>
          <w:rFonts w:cs="Arial"/>
          <w:color w:val="auto"/>
        </w:rPr>
      </w:pPr>
    </w:p>
    <w:p w:rsidR="004E2FB5" w:rsidRPr="002917E1" w:rsidRDefault="00E450E3" w:rsidP="002917E1">
      <w:pPr>
        <w:pStyle w:val="ListParagraph"/>
        <w:numPr>
          <w:ilvl w:val="0"/>
          <w:numId w:val="15"/>
        </w:numPr>
        <w:spacing w:after="0"/>
        <w:ind w:left="1080"/>
        <w:rPr>
          <w:rFonts w:cs="Arial"/>
          <w:b/>
          <w:color w:val="auto"/>
        </w:rPr>
      </w:pPr>
      <w:r w:rsidRPr="002917E1">
        <w:rPr>
          <w:rFonts w:cs="Arial"/>
          <w:b/>
          <w:color w:val="auto"/>
        </w:rPr>
        <w:t>Service transformation</w:t>
      </w:r>
    </w:p>
    <w:p w:rsidR="00E14AAC" w:rsidRPr="00F80467" w:rsidRDefault="00E14AAC" w:rsidP="002917E1">
      <w:pPr>
        <w:pStyle w:val="ListParagraph"/>
        <w:numPr>
          <w:ilvl w:val="0"/>
          <w:numId w:val="0"/>
        </w:numPr>
        <w:ind w:left="720"/>
        <w:rPr>
          <w:rFonts w:cs="Arial"/>
          <w:color w:val="auto"/>
        </w:rPr>
      </w:pPr>
      <w:r w:rsidRPr="004149D1">
        <w:rPr>
          <w:rFonts w:cs="Arial"/>
          <w:color w:val="auto"/>
        </w:rPr>
        <w:t>Service transformation of the adult homeless pathway is also underway and savi</w:t>
      </w:r>
      <w:r w:rsidR="00E3780B">
        <w:rPr>
          <w:rFonts w:cs="Arial"/>
          <w:color w:val="auto"/>
        </w:rPr>
        <w:t xml:space="preserve">ngs from current commissioning </w:t>
      </w:r>
      <w:r w:rsidRPr="004149D1">
        <w:rPr>
          <w:rFonts w:cs="Arial"/>
          <w:color w:val="auto"/>
        </w:rPr>
        <w:t>are also expected to help fund the additional revenue costs of this project.</w:t>
      </w:r>
    </w:p>
    <w:p w:rsidR="00E14AAC" w:rsidRPr="00F80467" w:rsidRDefault="00E14AAC" w:rsidP="004149D1">
      <w:pPr>
        <w:rPr>
          <w:rFonts w:cs="Arial"/>
          <w:color w:val="auto"/>
        </w:rPr>
      </w:pPr>
    </w:p>
    <w:p w:rsidR="00E14AAC" w:rsidRDefault="00E14AAC" w:rsidP="00E14AAC">
      <w:pPr>
        <w:pStyle w:val="ListParagraph"/>
        <w:numPr>
          <w:ilvl w:val="0"/>
          <w:numId w:val="11"/>
        </w:numPr>
        <w:rPr>
          <w:rFonts w:cs="Arial"/>
          <w:color w:val="auto"/>
        </w:rPr>
      </w:pPr>
      <w:r w:rsidRPr="004149D1">
        <w:rPr>
          <w:rFonts w:cs="Arial"/>
          <w:color w:val="auto"/>
        </w:rPr>
        <w:t xml:space="preserve">Without any of these sources of funding secured, the project will not be viable in the longer term.  Little of this </w:t>
      </w:r>
      <w:r w:rsidR="00003BF5">
        <w:rPr>
          <w:rFonts w:cs="Arial"/>
          <w:color w:val="auto"/>
        </w:rPr>
        <w:t xml:space="preserve">fundraising strategy </w:t>
      </w:r>
      <w:r w:rsidRPr="004149D1">
        <w:rPr>
          <w:rFonts w:cs="Arial"/>
          <w:color w:val="auto"/>
        </w:rPr>
        <w:t xml:space="preserve">can be relied on at this current moment.  If no further funding is identified, the shortfall could be funded initially from reserves.  There are additional pressures from the cost of homelessness which is already charged to the homelessness reserve </w:t>
      </w:r>
      <w:r w:rsidR="00003BF5">
        <w:rPr>
          <w:rFonts w:cs="Arial"/>
          <w:color w:val="auto"/>
        </w:rPr>
        <w:t>besides</w:t>
      </w:r>
      <w:r w:rsidRPr="004149D1">
        <w:rPr>
          <w:rFonts w:cs="Arial"/>
          <w:color w:val="auto"/>
        </w:rPr>
        <w:t xml:space="preserve"> of Floyds Row and in the absence of</w:t>
      </w:r>
      <w:r w:rsidR="00E3780B">
        <w:rPr>
          <w:rFonts w:cs="Arial"/>
          <w:color w:val="auto"/>
        </w:rPr>
        <w:t xml:space="preserve"> any savings or grant assuming Flexible H</w:t>
      </w:r>
      <w:r w:rsidRPr="004149D1">
        <w:rPr>
          <w:rFonts w:cs="Arial"/>
          <w:color w:val="auto"/>
        </w:rPr>
        <w:t xml:space="preserve">omeless </w:t>
      </w:r>
      <w:r w:rsidR="00E3780B">
        <w:rPr>
          <w:rFonts w:cs="Arial"/>
          <w:color w:val="auto"/>
        </w:rPr>
        <w:t>Support G</w:t>
      </w:r>
      <w:r w:rsidRPr="004149D1">
        <w:rPr>
          <w:rFonts w:cs="Arial"/>
          <w:color w:val="auto"/>
        </w:rPr>
        <w:t xml:space="preserve">rant of £500k per annum, which has yet to be confirmed past this year then the reduction on the homelessness reserve would be exhausted by the end of year </w:t>
      </w:r>
      <w:r w:rsidRPr="00583C72">
        <w:rPr>
          <w:rFonts w:cs="Arial"/>
          <w:i/>
          <w:color w:val="auto"/>
        </w:rPr>
        <w:t>3</w:t>
      </w:r>
      <w:r w:rsidR="00003BF5" w:rsidRPr="00583C72">
        <w:rPr>
          <w:rFonts w:cs="Arial"/>
          <w:i/>
          <w:color w:val="auto"/>
        </w:rPr>
        <w:t xml:space="preserve"> </w:t>
      </w:r>
      <w:r w:rsidR="00583C72" w:rsidRPr="00583C72">
        <w:rPr>
          <w:rFonts w:cs="Arial"/>
          <w:color w:val="auto"/>
        </w:rPr>
        <w:t>(2021/22)</w:t>
      </w:r>
      <w:r w:rsidR="00583C72">
        <w:rPr>
          <w:i/>
          <w:iCs/>
          <w:sz w:val="22"/>
          <w:szCs w:val="22"/>
        </w:rPr>
        <w:t xml:space="preserve"> </w:t>
      </w:r>
      <w:r w:rsidR="00003BF5">
        <w:rPr>
          <w:rFonts w:cs="Arial"/>
          <w:color w:val="auto"/>
        </w:rPr>
        <w:t>of this project</w:t>
      </w:r>
      <w:r w:rsidRPr="004149D1">
        <w:rPr>
          <w:rFonts w:cs="Arial"/>
          <w:color w:val="auto"/>
        </w:rPr>
        <w:t>.</w:t>
      </w:r>
    </w:p>
    <w:p w:rsidR="005C00CB" w:rsidRDefault="005C00CB" w:rsidP="005C00CB">
      <w:pPr>
        <w:pStyle w:val="ListParagraph"/>
        <w:numPr>
          <w:ilvl w:val="0"/>
          <w:numId w:val="0"/>
        </w:numPr>
        <w:ind w:left="360"/>
        <w:rPr>
          <w:rFonts w:cs="Arial"/>
          <w:color w:val="auto"/>
        </w:rPr>
      </w:pPr>
    </w:p>
    <w:p w:rsidR="00583C72" w:rsidRPr="00583C72" w:rsidRDefault="00583C72" w:rsidP="00583C72">
      <w:pPr>
        <w:pStyle w:val="ListParagraph"/>
        <w:numPr>
          <w:ilvl w:val="0"/>
          <w:numId w:val="11"/>
        </w:numPr>
        <w:tabs>
          <w:tab w:val="clear" w:pos="426"/>
        </w:tabs>
        <w:rPr>
          <w:rFonts w:cs="Arial"/>
          <w:color w:val="auto"/>
        </w:rPr>
      </w:pPr>
      <w:r w:rsidRPr="00583C72">
        <w:rPr>
          <w:rFonts w:cs="Arial"/>
          <w:color w:val="auto"/>
        </w:rPr>
        <w:t>Given the time pressure to continue with the construction of the 56 bed accommodation to meet opening times in January 2020, and then Spring 2020, Members will need to consider initially how the increased costs can be accommodated pending the review of the Councils budget in December 2020. If funding from other sources (including MHCLG grants and contributions from other partners) were secured, this would allow the use of reserves to be re</w:t>
      </w:r>
      <w:r>
        <w:rPr>
          <w:rFonts w:cs="Arial"/>
          <w:color w:val="auto"/>
        </w:rPr>
        <w:t>-</w:t>
      </w:r>
      <w:r w:rsidRPr="00583C72">
        <w:rPr>
          <w:rFonts w:cs="Arial"/>
          <w:color w:val="auto"/>
        </w:rPr>
        <w:t xml:space="preserve">profiled and spread over a longer period of time.  Any remaining funding gap will need to be met through further transformation of the </w:t>
      </w:r>
      <w:proofErr w:type="gramStart"/>
      <w:r w:rsidRPr="00583C72">
        <w:rPr>
          <w:rFonts w:cs="Arial"/>
          <w:color w:val="auto"/>
        </w:rPr>
        <w:t>Countywide</w:t>
      </w:r>
      <w:proofErr w:type="gramEnd"/>
      <w:r w:rsidRPr="00583C72">
        <w:rPr>
          <w:rFonts w:cs="Arial"/>
          <w:color w:val="auto"/>
        </w:rPr>
        <w:t xml:space="preserve"> adult homeless pathway or through identifying funding from other sources.</w:t>
      </w:r>
    </w:p>
    <w:p w:rsidR="005C00CB" w:rsidRPr="005C00CB" w:rsidRDefault="005C00CB" w:rsidP="005C00CB">
      <w:pPr>
        <w:pStyle w:val="ListParagraph"/>
        <w:numPr>
          <w:ilvl w:val="0"/>
          <w:numId w:val="11"/>
        </w:numPr>
        <w:rPr>
          <w:rFonts w:cs="Arial"/>
          <w:color w:val="auto"/>
        </w:rPr>
      </w:pPr>
      <w:r>
        <w:rPr>
          <w:rFonts w:cs="Arial"/>
          <w:color w:val="auto"/>
        </w:rPr>
        <w:lastRenderedPageBreak/>
        <w:t>Given the time pressure to continue with the construction of the 56 bed accommodation to meet opening times in January 2020, then Spring 2020, Members will need to consider initially how the increased costs can be accommodated pending the review of the Councils budget in December 2020.</w:t>
      </w:r>
    </w:p>
    <w:p w:rsidR="00E14AAC" w:rsidRPr="00244E87" w:rsidRDefault="00E14AAC" w:rsidP="00E14AAC">
      <w:pPr>
        <w:pStyle w:val="ListParagraph"/>
        <w:numPr>
          <w:ilvl w:val="0"/>
          <w:numId w:val="0"/>
        </w:numPr>
        <w:spacing w:after="0"/>
        <w:ind w:left="360"/>
        <w:rPr>
          <w:rFonts w:cs="Arial"/>
          <w:color w:val="auto"/>
          <w:sz w:val="20"/>
          <w:szCs w:val="20"/>
        </w:rPr>
      </w:pPr>
    </w:p>
    <w:p w:rsidR="007B70DE" w:rsidRPr="004149D1" w:rsidRDefault="007B70DE" w:rsidP="00565302">
      <w:pPr>
        <w:rPr>
          <w:rFonts w:cs="Arial"/>
          <w:color w:val="auto"/>
          <w:lang w:val="en-US"/>
        </w:rPr>
      </w:pPr>
      <w:r w:rsidRPr="004149D1">
        <w:rPr>
          <w:b/>
          <w:color w:val="auto"/>
        </w:rPr>
        <w:t xml:space="preserve">Legal issues </w:t>
      </w:r>
    </w:p>
    <w:p w:rsidR="00565302" w:rsidRPr="00244E87" w:rsidRDefault="00565302" w:rsidP="00565302">
      <w:pPr>
        <w:rPr>
          <w:rFonts w:cs="Arial"/>
          <w:color w:val="auto"/>
          <w:sz w:val="20"/>
          <w:szCs w:val="20"/>
          <w:lang w:val="en-US"/>
        </w:rPr>
      </w:pPr>
    </w:p>
    <w:p w:rsidR="00003BF5" w:rsidRPr="00C573E7" w:rsidRDefault="00003BF5" w:rsidP="00003BF5">
      <w:pPr>
        <w:pStyle w:val="ListParagraph"/>
        <w:numPr>
          <w:ilvl w:val="0"/>
          <w:numId w:val="11"/>
        </w:numPr>
        <w:rPr>
          <w:rFonts w:cs="Arial"/>
          <w:color w:val="auto"/>
        </w:rPr>
      </w:pPr>
      <w:r w:rsidRPr="006456C1">
        <w:rPr>
          <w:rFonts w:cs="Arial"/>
          <w:color w:val="auto"/>
        </w:rPr>
        <w:t xml:space="preserve">The capital and service contract arrangements and route to commissioning the full service are considered to comply with </w:t>
      </w:r>
      <w:r>
        <w:rPr>
          <w:rFonts w:cs="Arial"/>
          <w:color w:val="auto"/>
        </w:rPr>
        <w:t>T</w:t>
      </w:r>
      <w:r w:rsidRPr="008A4FB2">
        <w:rPr>
          <w:rFonts w:cs="Arial"/>
          <w:color w:val="auto"/>
        </w:rPr>
        <w:t>he Public Contracts Regulations</w:t>
      </w:r>
      <w:r w:rsidRPr="006456C1">
        <w:rPr>
          <w:rFonts w:cs="Arial"/>
          <w:color w:val="auto"/>
        </w:rPr>
        <w:t xml:space="preserve"> 2015</w:t>
      </w:r>
      <w:r>
        <w:rPr>
          <w:rFonts w:cs="Arial"/>
          <w:color w:val="auto"/>
        </w:rPr>
        <w:t xml:space="preserve">. </w:t>
      </w:r>
      <w:r w:rsidR="008357B2">
        <w:rPr>
          <w:rFonts w:cs="Arial"/>
          <w:color w:val="auto"/>
        </w:rPr>
        <w:t xml:space="preserve"> </w:t>
      </w:r>
      <w:r>
        <w:rPr>
          <w:rFonts w:cs="Arial"/>
          <w:color w:val="auto"/>
        </w:rPr>
        <w:t>In particular the contract extension with St Mungo’s meets the requirements of</w:t>
      </w:r>
      <w:r w:rsidRPr="001D10D9">
        <w:rPr>
          <w:rFonts w:cs="Arial"/>
          <w:color w:val="auto"/>
        </w:rPr>
        <w:t xml:space="preserve"> Regulation 72 (1)(c) </w:t>
      </w:r>
      <w:r>
        <w:rPr>
          <w:rFonts w:cs="Arial"/>
          <w:color w:val="auto"/>
        </w:rPr>
        <w:t>as</w:t>
      </w:r>
      <w:r w:rsidRPr="00C573E7">
        <w:rPr>
          <w:rFonts w:cs="Arial"/>
          <w:color w:val="auto"/>
        </w:rPr>
        <w:t xml:space="preserve"> all of the foll</w:t>
      </w:r>
      <w:r>
        <w:rPr>
          <w:rFonts w:cs="Arial"/>
          <w:color w:val="auto"/>
        </w:rPr>
        <w:t>owing conditions are fulfilled:</w:t>
      </w:r>
    </w:p>
    <w:p w:rsidR="00003BF5" w:rsidRPr="00C573E7" w:rsidRDefault="00003BF5" w:rsidP="00003BF5">
      <w:pPr>
        <w:pStyle w:val="ListParagraph"/>
        <w:numPr>
          <w:ilvl w:val="0"/>
          <w:numId w:val="0"/>
        </w:numPr>
        <w:ind w:left="360"/>
        <w:rPr>
          <w:rFonts w:cs="Arial"/>
          <w:color w:val="auto"/>
        </w:rPr>
      </w:pPr>
      <w:r w:rsidRPr="00C573E7">
        <w:rPr>
          <w:rFonts w:cs="Arial"/>
          <w:color w:val="auto"/>
        </w:rPr>
        <w:t>(i)  </w:t>
      </w:r>
      <w:proofErr w:type="gramStart"/>
      <w:r w:rsidRPr="00C573E7">
        <w:rPr>
          <w:rFonts w:cs="Arial"/>
          <w:color w:val="auto"/>
        </w:rPr>
        <w:t>the</w:t>
      </w:r>
      <w:proofErr w:type="gramEnd"/>
      <w:r w:rsidRPr="00C573E7">
        <w:rPr>
          <w:rFonts w:cs="Arial"/>
          <w:color w:val="auto"/>
        </w:rPr>
        <w:t xml:space="preserve"> need for modification </w:t>
      </w:r>
      <w:r>
        <w:rPr>
          <w:rFonts w:cs="Arial"/>
          <w:color w:val="auto"/>
        </w:rPr>
        <w:t xml:space="preserve">to the contract </w:t>
      </w:r>
      <w:r w:rsidRPr="00C573E7">
        <w:rPr>
          <w:rFonts w:cs="Arial"/>
          <w:color w:val="auto"/>
        </w:rPr>
        <w:t>has been brought about by circumstances which a diligent contracting authority could not have foreseen;</w:t>
      </w:r>
    </w:p>
    <w:p w:rsidR="00003BF5" w:rsidRPr="00C573E7" w:rsidRDefault="00003BF5" w:rsidP="00003BF5">
      <w:pPr>
        <w:pStyle w:val="ListParagraph"/>
        <w:numPr>
          <w:ilvl w:val="0"/>
          <w:numId w:val="0"/>
        </w:numPr>
        <w:ind w:left="360"/>
        <w:rPr>
          <w:rFonts w:cs="Arial"/>
          <w:color w:val="auto"/>
        </w:rPr>
      </w:pPr>
      <w:r w:rsidRPr="00C573E7">
        <w:rPr>
          <w:rFonts w:cs="Arial"/>
          <w:color w:val="auto"/>
        </w:rPr>
        <w:t>(ii)  </w:t>
      </w:r>
      <w:proofErr w:type="gramStart"/>
      <w:r w:rsidRPr="00C573E7">
        <w:rPr>
          <w:rFonts w:cs="Arial"/>
          <w:color w:val="auto"/>
        </w:rPr>
        <w:t>the</w:t>
      </w:r>
      <w:proofErr w:type="gramEnd"/>
      <w:r w:rsidRPr="00C573E7">
        <w:rPr>
          <w:rFonts w:cs="Arial"/>
          <w:color w:val="auto"/>
        </w:rPr>
        <w:t xml:space="preserve"> modification does not alter the overall nature of the contract;</w:t>
      </w:r>
    </w:p>
    <w:p w:rsidR="00003BF5" w:rsidRPr="00C573E7" w:rsidRDefault="00003BF5" w:rsidP="00003BF5">
      <w:pPr>
        <w:pStyle w:val="ListParagraph"/>
        <w:numPr>
          <w:ilvl w:val="0"/>
          <w:numId w:val="0"/>
        </w:numPr>
        <w:ind w:left="360"/>
        <w:rPr>
          <w:rFonts w:cs="Arial"/>
          <w:color w:val="auto"/>
        </w:rPr>
      </w:pPr>
      <w:r w:rsidRPr="00C573E7">
        <w:rPr>
          <w:rFonts w:cs="Arial"/>
          <w:color w:val="auto"/>
        </w:rPr>
        <w:t>(iii)  </w:t>
      </w:r>
      <w:proofErr w:type="gramStart"/>
      <w:r w:rsidRPr="00C573E7">
        <w:rPr>
          <w:rFonts w:cs="Arial"/>
          <w:color w:val="auto"/>
        </w:rPr>
        <w:t>any</w:t>
      </w:r>
      <w:proofErr w:type="gramEnd"/>
      <w:r w:rsidRPr="00C573E7">
        <w:rPr>
          <w:rFonts w:cs="Arial"/>
          <w:color w:val="auto"/>
        </w:rPr>
        <w:t xml:space="preserve"> increase in price does not exceed 50% of the value of the original </w:t>
      </w:r>
      <w:r>
        <w:rPr>
          <w:rFonts w:cs="Arial"/>
          <w:color w:val="auto"/>
        </w:rPr>
        <w:t xml:space="preserve">contract </w:t>
      </w:r>
    </w:p>
    <w:p w:rsidR="00003BF5" w:rsidRPr="008357B2" w:rsidRDefault="00003BF5" w:rsidP="00003BF5">
      <w:pPr>
        <w:pStyle w:val="ListParagraph"/>
        <w:numPr>
          <w:ilvl w:val="0"/>
          <w:numId w:val="0"/>
        </w:numPr>
        <w:ind w:left="360"/>
        <w:rPr>
          <w:rFonts w:cs="Arial"/>
          <w:sz w:val="16"/>
          <w:szCs w:val="16"/>
        </w:rPr>
      </w:pPr>
    </w:p>
    <w:p w:rsidR="00003BF5" w:rsidRPr="00003BF5" w:rsidRDefault="00003BF5" w:rsidP="00003BF5">
      <w:pPr>
        <w:pStyle w:val="ListParagraph"/>
        <w:numPr>
          <w:ilvl w:val="0"/>
          <w:numId w:val="11"/>
        </w:numPr>
        <w:rPr>
          <w:rFonts w:cs="Arial"/>
        </w:rPr>
      </w:pPr>
      <w:r>
        <w:rPr>
          <w:rFonts w:cs="Arial"/>
          <w:color w:val="auto"/>
        </w:rPr>
        <w:t xml:space="preserve">The </w:t>
      </w:r>
      <w:r w:rsidRPr="006456C1">
        <w:rPr>
          <w:rFonts w:cs="Arial"/>
          <w:color w:val="auto"/>
        </w:rPr>
        <w:t>Council has a duty to try to prevent and relieve homelessness under the Housing Act 1996, as amended</w:t>
      </w:r>
      <w:r>
        <w:rPr>
          <w:rFonts w:cs="Arial"/>
          <w:color w:val="auto"/>
        </w:rPr>
        <w:t xml:space="preserve"> and its responsibilities and duties under</w:t>
      </w:r>
      <w:r w:rsidRPr="006456C1">
        <w:rPr>
          <w:rFonts w:cs="Arial"/>
          <w:color w:val="auto"/>
        </w:rPr>
        <w:t xml:space="preserve"> the Homelessness Reduction Act 2017to p</w:t>
      </w:r>
      <w:r>
        <w:rPr>
          <w:rFonts w:cs="Arial"/>
          <w:color w:val="auto"/>
        </w:rPr>
        <w:t>revent and relieve homelessness</w:t>
      </w:r>
      <w:r w:rsidRPr="006456C1">
        <w:rPr>
          <w:rFonts w:cs="Arial"/>
          <w:color w:val="auto"/>
        </w:rPr>
        <w:t xml:space="preserve"> for all eligible applicants threatened with homelessness, regardless of priority need</w:t>
      </w:r>
      <w:proofErr w:type="gramStart"/>
      <w:r w:rsidRPr="006456C1">
        <w:rPr>
          <w:rFonts w:cs="Arial"/>
          <w:color w:val="auto"/>
        </w:rPr>
        <w:t>..</w:t>
      </w:r>
      <w:proofErr w:type="gramEnd"/>
      <w:r w:rsidRPr="006456C1">
        <w:rPr>
          <w:rFonts w:cs="Arial"/>
          <w:color w:val="auto"/>
        </w:rPr>
        <w:t xml:space="preserve">  The Council also has general powers under the Localism Act 2011</w:t>
      </w:r>
      <w:r>
        <w:rPr>
          <w:rFonts w:cs="Arial"/>
          <w:color w:val="auto"/>
        </w:rPr>
        <w:t xml:space="preserve">that it may use </w:t>
      </w:r>
      <w:r w:rsidRPr="006456C1">
        <w:rPr>
          <w:rFonts w:cs="Arial"/>
          <w:color w:val="auto"/>
        </w:rPr>
        <w:t>to provide additional community well-being services.</w:t>
      </w:r>
    </w:p>
    <w:p w:rsidR="00003BF5" w:rsidRPr="008357B2" w:rsidRDefault="00003BF5" w:rsidP="00003BF5">
      <w:pPr>
        <w:pStyle w:val="ListParagraph"/>
        <w:numPr>
          <w:ilvl w:val="0"/>
          <w:numId w:val="0"/>
        </w:numPr>
        <w:ind w:left="360"/>
        <w:rPr>
          <w:rFonts w:cs="Arial"/>
          <w:sz w:val="16"/>
          <w:szCs w:val="16"/>
        </w:rPr>
      </w:pPr>
    </w:p>
    <w:p w:rsidR="007B70DE" w:rsidRPr="004149D1" w:rsidRDefault="007B70DE" w:rsidP="007B70DE">
      <w:pPr>
        <w:pStyle w:val="Heading1"/>
      </w:pPr>
      <w:r w:rsidRPr="004149D1">
        <w:t xml:space="preserve">Level of risk </w:t>
      </w:r>
    </w:p>
    <w:p w:rsidR="007B70DE" w:rsidRPr="008357B2" w:rsidRDefault="007B70DE" w:rsidP="007B70DE">
      <w:pPr>
        <w:rPr>
          <w:rFonts w:cs="Arial"/>
          <w:sz w:val="16"/>
          <w:szCs w:val="16"/>
        </w:rPr>
      </w:pPr>
    </w:p>
    <w:p w:rsidR="007B70DE" w:rsidRPr="004149D1" w:rsidRDefault="00CE35E8" w:rsidP="007B70DE">
      <w:pPr>
        <w:pStyle w:val="ListParagraph"/>
        <w:numPr>
          <w:ilvl w:val="0"/>
          <w:numId w:val="11"/>
        </w:numPr>
        <w:rPr>
          <w:rFonts w:cs="Arial"/>
        </w:rPr>
      </w:pPr>
      <w:r w:rsidRPr="004149D1">
        <w:t xml:space="preserve">A Risk Register is provided at Appendix </w:t>
      </w:r>
      <w:r w:rsidR="008B74E8" w:rsidRPr="004149D1">
        <w:t>1</w:t>
      </w:r>
      <w:r w:rsidRPr="004149D1">
        <w:t xml:space="preserve">. </w:t>
      </w:r>
    </w:p>
    <w:p w:rsidR="007B70DE" w:rsidRPr="008357B2" w:rsidRDefault="007B70DE" w:rsidP="007B70DE">
      <w:pPr>
        <w:pStyle w:val="ListParagraph"/>
        <w:numPr>
          <w:ilvl w:val="0"/>
          <w:numId w:val="0"/>
        </w:numPr>
        <w:ind w:left="360"/>
        <w:rPr>
          <w:rFonts w:cs="Arial"/>
          <w:sz w:val="16"/>
          <w:szCs w:val="16"/>
        </w:rPr>
      </w:pPr>
    </w:p>
    <w:p w:rsidR="007B70DE" w:rsidRPr="004149D1" w:rsidRDefault="007B70DE" w:rsidP="007B70DE">
      <w:pPr>
        <w:pStyle w:val="Heading1"/>
      </w:pPr>
      <w:r w:rsidRPr="004149D1">
        <w:t xml:space="preserve">Equalities impact </w:t>
      </w:r>
    </w:p>
    <w:p w:rsidR="007B70DE" w:rsidRPr="008357B2" w:rsidRDefault="007B70DE" w:rsidP="007B70DE">
      <w:pPr>
        <w:pStyle w:val="ListParagraph"/>
        <w:numPr>
          <w:ilvl w:val="0"/>
          <w:numId w:val="0"/>
        </w:numPr>
        <w:ind w:left="360"/>
        <w:rPr>
          <w:rFonts w:cs="Arial"/>
          <w:sz w:val="16"/>
          <w:szCs w:val="16"/>
        </w:rPr>
      </w:pPr>
    </w:p>
    <w:p w:rsidR="007B70DE" w:rsidRPr="004149D1" w:rsidRDefault="00CE35E8" w:rsidP="007D5A71">
      <w:pPr>
        <w:pStyle w:val="ListParagraph"/>
        <w:numPr>
          <w:ilvl w:val="0"/>
          <w:numId w:val="11"/>
        </w:numPr>
        <w:rPr>
          <w:rFonts w:cs="Arial"/>
        </w:rPr>
      </w:pPr>
      <w:r w:rsidRPr="004149D1">
        <w:t>An Equalities Impact Assessment is provided at Appendix</w:t>
      </w:r>
      <w:r w:rsidR="00965FD0" w:rsidRPr="004149D1">
        <w:t xml:space="preserve"> </w:t>
      </w:r>
      <w:r w:rsidR="008B74E8" w:rsidRPr="004149D1">
        <w:t>2</w:t>
      </w:r>
      <w:r w:rsidRPr="004149D1">
        <w:t xml:space="preserve">.   There are no adverse impacts in undertaking this activity, with the potential to improve provision for </w:t>
      </w:r>
      <w:r w:rsidR="00E84578" w:rsidRPr="004149D1">
        <w:t>persons in housing need</w:t>
      </w:r>
      <w:r w:rsidR="00003BF5">
        <w:t xml:space="preserve"> under all the options considered, with the greatest positive impact, for more people, resulting from Option A</w:t>
      </w:r>
      <w:r w:rsidRPr="004149D1">
        <w:t>.</w:t>
      </w:r>
    </w:p>
    <w:p w:rsidR="007D5A71" w:rsidRPr="008357B2" w:rsidRDefault="007D5A71" w:rsidP="007D5A71">
      <w:pPr>
        <w:rPr>
          <w:rFonts w:cs="Arial"/>
          <w:sz w:val="16"/>
          <w:szCs w:val="16"/>
        </w:rPr>
      </w:pPr>
    </w:p>
    <w:p w:rsidR="007B70DE" w:rsidRPr="004149D1" w:rsidRDefault="007B70DE" w:rsidP="007B70DE">
      <w:pPr>
        <w:rPr>
          <w:rFonts w:cs="Arial"/>
          <w:b/>
        </w:rPr>
      </w:pPr>
      <w:r w:rsidRPr="004149D1">
        <w:rPr>
          <w:b/>
        </w:rPr>
        <w:t>Conclusion</w:t>
      </w:r>
    </w:p>
    <w:p w:rsidR="007B70DE" w:rsidRPr="008357B2" w:rsidRDefault="007B70DE" w:rsidP="007B70DE">
      <w:pPr>
        <w:rPr>
          <w:rFonts w:cs="Arial"/>
          <w:sz w:val="16"/>
          <w:szCs w:val="16"/>
        </w:rPr>
      </w:pPr>
    </w:p>
    <w:p w:rsidR="00E206D6" w:rsidRPr="002917E1" w:rsidRDefault="00CE35E8" w:rsidP="007B70DE">
      <w:pPr>
        <w:pStyle w:val="ListParagraph"/>
        <w:numPr>
          <w:ilvl w:val="0"/>
          <w:numId w:val="11"/>
        </w:numPr>
        <w:rPr>
          <w:rStyle w:val="Firstpagetablebold"/>
          <w:rFonts w:cs="Arial"/>
          <w:b w:val="0"/>
        </w:rPr>
      </w:pPr>
      <w:r w:rsidRPr="004149D1">
        <w:t xml:space="preserve">That the Council should look to use this </w:t>
      </w:r>
      <w:r w:rsidR="00003BF5">
        <w:t>rare</w:t>
      </w:r>
      <w:r w:rsidR="007B70DE" w:rsidRPr="004149D1">
        <w:t xml:space="preserve"> </w:t>
      </w:r>
      <w:r w:rsidRPr="004149D1">
        <w:t>opportunity to</w:t>
      </w:r>
      <w:r w:rsidR="007B70DE" w:rsidRPr="004149D1">
        <w:rPr>
          <w:rStyle w:val="Firstpagetablebold"/>
          <w:b w:val="0"/>
          <w:color w:val="auto"/>
        </w:rPr>
        <w:t xml:space="preserve"> deliver a new and exceptional service at the Floyds Row location that will deliver a new range of early service interventions to persons sleeping rough and single people at risk of homelessness, and provide a step-change in transforming provision in Oxford and Oxfordshire.</w:t>
      </w:r>
    </w:p>
    <w:p w:rsidR="00E450E3" w:rsidRPr="004149D1" w:rsidRDefault="00E450E3" w:rsidP="007B70DE">
      <w:pPr>
        <w:pStyle w:val="ListParagraph"/>
        <w:numPr>
          <w:ilvl w:val="0"/>
          <w:numId w:val="11"/>
        </w:numPr>
        <w:rPr>
          <w:rStyle w:val="Firstpagetablebold"/>
          <w:rFonts w:cs="Arial"/>
          <w:b w:val="0"/>
        </w:rPr>
      </w:pPr>
      <w:proofErr w:type="gramStart"/>
      <w:r>
        <w:rPr>
          <w:rStyle w:val="Firstpagetablebold"/>
          <w:b w:val="0"/>
          <w:color w:val="auto"/>
        </w:rPr>
        <w:t>That officers</w:t>
      </w:r>
      <w:proofErr w:type="gramEnd"/>
      <w:r>
        <w:rPr>
          <w:rStyle w:val="Firstpagetablebold"/>
          <w:b w:val="0"/>
          <w:color w:val="auto"/>
        </w:rPr>
        <w:t xml:space="preserve"> will continue to develop all the initiatives identified above to close the funding gaps identified through alternative funding streams.</w:t>
      </w:r>
    </w:p>
    <w:p w:rsidR="002917E1" w:rsidRPr="00910FD8" w:rsidRDefault="002917E1"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rsidTr="00D62F6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CE35E8" w:rsidRPr="001356F1" w:rsidRDefault="00CE35E8" w:rsidP="00D62F60">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CE35E8" w:rsidRPr="001356F1" w:rsidRDefault="00CE35E8" w:rsidP="00D62F60">
            <w:r>
              <w:t>Dave Scholes</w:t>
            </w:r>
          </w:p>
        </w:tc>
      </w:tr>
      <w:tr w:rsidR="00CE35E8" w:rsidRPr="001356F1" w:rsidTr="00D62F60">
        <w:trPr>
          <w:cantSplit/>
          <w:trHeight w:val="396"/>
        </w:trPr>
        <w:tc>
          <w:tcPr>
            <w:tcW w:w="3969" w:type="dxa"/>
            <w:tcBorders>
              <w:top w:val="single" w:sz="8" w:space="0" w:color="000000"/>
              <w:left w:val="single" w:sz="8" w:space="0" w:color="000000"/>
              <w:bottom w:val="nil"/>
              <w:right w:val="nil"/>
            </w:tcBorders>
            <w:shd w:val="clear" w:color="auto" w:fill="auto"/>
          </w:tcPr>
          <w:p w:rsidR="00CE35E8" w:rsidRPr="001356F1" w:rsidRDefault="00CE35E8" w:rsidP="00D62F60">
            <w:r w:rsidRPr="001356F1">
              <w:t>Job title</w:t>
            </w:r>
          </w:p>
        </w:tc>
        <w:tc>
          <w:tcPr>
            <w:tcW w:w="4962" w:type="dxa"/>
            <w:tcBorders>
              <w:top w:val="single" w:sz="8" w:space="0" w:color="000000"/>
              <w:left w:val="nil"/>
              <w:bottom w:val="nil"/>
              <w:right w:val="single" w:sz="8" w:space="0" w:color="000000"/>
            </w:tcBorders>
            <w:shd w:val="clear" w:color="auto" w:fill="auto"/>
          </w:tcPr>
          <w:p w:rsidR="00CE35E8" w:rsidRPr="001356F1" w:rsidRDefault="00CE35E8" w:rsidP="00D62F60">
            <w:r>
              <w:t>Housing Strategy and Needs Manager</w:t>
            </w:r>
          </w:p>
        </w:tc>
      </w:tr>
      <w:tr w:rsidR="00CE35E8" w:rsidRPr="001356F1" w:rsidTr="00D62F60">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D62F60">
            <w:r w:rsidRPr="001356F1">
              <w:t>Service area or department</w:t>
            </w:r>
          </w:p>
        </w:tc>
        <w:tc>
          <w:tcPr>
            <w:tcW w:w="4962" w:type="dxa"/>
            <w:tcBorders>
              <w:top w:val="nil"/>
              <w:left w:val="nil"/>
              <w:bottom w:val="nil"/>
              <w:right w:val="single" w:sz="8" w:space="0" w:color="000000"/>
            </w:tcBorders>
            <w:shd w:val="clear" w:color="auto" w:fill="auto"/>
          </w:tcPr>
          <w:p w:rsidR="00CE35E8" w:rsidRPr="001356F1" w:rsidRDefault="00CE35E8" w:rsidP="00D62F60">
            <w:r>
              <w:t>Housing and Property</w:t>
            </w:r>
          </w:p>
        </w:tc>
      </w:tr>
      <w:tr w:rsidR="00CE35E8" w:rsidRPr="001356F1" w:rsidTr="00D62F60">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D62F60">
            <w:r w:rsidRPr="001356F1">
              <w:t xml:space="preserve">Telephone </w:t>
            </w:r>
          </w:p>
        </w:tc>
        <w:tc>
          <w:tcPr>
            <w:tcW w:w="4962" w:type="dxa"/>
            <w:tcBorders>
              <w:top w:val="nil"/>
              <w:left w:val="nil"/>
              <w:bottom w:val="nil"/>
              <w:right w:val="single" w:sz="8" w:space="0" w:color="000000"/>
            </w:tcBorders>
            <w:shd w:val="clear" w:color="auto" w:fill="auto"/>
          </w:tcPr>
          <w:p w:rsidR="00CE35E8" w:rsidRPr="001356F1" w:rsidRDefault="00CE35E8" w:rsidP="00D62F60">
            <w:r w:rsidRPr="001356F1">
              <w:t xml:space="preserve">01865 </w:t>
            </w:r>
            <w:r>
              <w:t>252636</w:t>
            </w:r>
            <w:r w:rsidRPr="001356F1">
              <w:t xml:space="preserve">  </w:t>
            </w:r>
          </w:p>
        </w:tc>
      </w:tr>
      <w:tr w:rsidR="00CE35E8" w:rsidRPr="001356F1" w:rsidTr="00D62F60">
        <w:trPr>
          <w:cantSplit/>
          <w:trHeight w:val="396"/>
        </w:trPr>
        <w:tc>
          <w:tcPr>
            <w:tcW w:w="3969" w:type="dxa"/>
            <w:tcBorders>
              <w:top w:val="nil"/>
              <w:left w:val="single" w:sz="8" w:space="0" w:color="000000"/>
              <w:bottom w:val="single" w:sz="8" w:space="0" w:color="000000"/>
              <w:right w:val="nil"/>
            </w:tcBorders>
            <w:shd w:val="clear" w:color="auto" w:fill="auto"/>
          </w:tcPr>
          <w:p w:rsidR="00CE35E8" w:rsidRPr="001356F1" w:rsidRDefault="00CE35E8" w:rsidP="00D62F60">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CE35E8" w:rsidRPr="001356F1" w:rsidRDefault="00CE35E8" w:rsidP="00D62F60">
            <w:pPr>
              <w:rPr>
                <w:rStyle w:val="Hyperlink"/>
                <w:color w:val="000000"/>
              </w:rPr>
            </w:pPr>
            <w:r>
              <w:rPr>
                <w:rStyle w:val="Hyperlink"/>
                <w:color w:val="000000"/>
              </w:rPr>
              <w:t>dscholes@oxford.gov.uk</w:t>
            </w:r>
          </w:p>
        </w:tc>
      </w:tr>
      <w:tr w:rsidR="00CE35E8" w:rsidRPr="001356F1" w:rsidTr="00D62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CE35E8" w:rsidRPr="001356F1" w:rsidRDefault="00CE35E8" w:rsidP="00D62F60">
            <w:r w:rsidRPr="001356F1">
              <w:rPr>
                <w:rStyle w:val="Firstpagetablebold"/>
              </w:rPr>
              <w:t xml:space="preserve">Background Papers: </w:t>
            </w:r>
            <w:r>
              <w:rPr>
                <w:rStyle w:val="Firstpagetablebold"/>
              </w:rPr>
              <w:t xml:space="preserve">                       </w:t>
            </w:r>
            <w:r w:rsidRPr="001356F1">
              <w:rPr>
                <w:rStyle w:val="Firstpagetablebold"/>
              </w:rPr>
              <w:t>None</w:t>
            </w:r>
          </w:p>
        </w:tc>
      </w:tr>
    </w:tbl>
    <w:p w:rsidR="00244E87" w:rsidRPr="00E14AAC" w:rsidRDefault="00244E87" w:rsidP="002917E1">
      <w:pPr>
        <w:rPr>
          <w:b/>
          <w:color w:val="FF0000"/>
        </w:rPr>
      </w:pPr>
    </w:p>
    <w:sectPr w:rsidR="00244E87" w:rsidRPr="00E14AA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F3" w:rsidRDefault="00191CF3" w:rsidP="004A6D2F">
      <w:r>
        <w:separator/>
      </w:r>
    </w:p>
  </w:endnote>
  <w:endnote w:type="continuationSeparator" w:id="0">
    <w:p w:rsidR="00191CF3" w:rsidRDefault="00191CF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3" w:rsidRDefault="00191CF3" w:rsidP="004A6D2F">
    <w:pPr>
      <w:pStyle w:val="Footer"/>
    </w:pPr>
    <w:r>
      <w:t>Do not use a footer or page numbers.</w:t>
    </w:r>
  </w:p>
  <w:p w:rsidR="00191CF3" w:rsidRDefault="00191CF3" w:rsidP="004A6D2F">
    <w:pPr>
      <w:pStyle w:val="Footer"/>
    </w:pPr>
  </w:p>
  <w:p w:rsidR="00191CF3" w:rsidRDefault="00191CF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3" w:rsidRDefault="00191CF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F3" w:rsidRDefault="00191CF3" w:rsidP="004A6D2F">
      <w:r>
        <w:separator/>
      </w:r>
    </w:p>
  </w:footnote>
  <w:footnote w:type="continuationSeparator" w:id="0">
    <w:p w:rsidR="00191CF3" w:rsidRDefault="00191CF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3" w:rsidRDefault="00191CF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2EA"/>
    <w:multiLevelType w:val="hybridMultilevel"/>
    <w:tmpl w:val="9F1EC7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D1F93"/>
    <w:multiLevelType w:val="hybridMultilevel"/>
    <w:tmpl w:val="EDAEDA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8544AD"/>
    <w:multiLevelType w:val="hybridMultilevel"/>
    <w:tmpl w:val="E1AE4E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5F6757"/>
    <w:multiLevelType w:val="hybridMultilevel"/>
    <w:tmpl w:val="8924989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853F0D"/>
    <w:multiLevelType w:val="hybridMultilevel"/>
    <w:tmpl w:val="0F0C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C97737"/>
    <w:multiLevelType w:val="hybridMultilevel"/>
    <w:tmpl w:val="72E67E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D17802"/>
    <w:multiLevelType w:val="hybridMultilevel"/>
    <w:tmpl w:val="618245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3483C8D"/>
    <w:multiLevelType w:val="hybridMultilevel"/>
    <w:tmpl w:val="78EA2D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45D4F95"/>
    <w:multiLevelType w:val="hybridMultilevel"/>
    <w:tmpl w:val="69AEA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30A4B50"/>
    <w:multiLevelType w:val="hybridMultilevel"/>
    <w:tmpl w:val="EBEC5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D87F48"/>
    <w:multiLevelType w:val="hybridMultilevel"/>
    <w:tmpl w:val="6E4C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07364"/>
    <w:multiLevelType w:val="hybridMultilevel"/>
    <w:tmpl w:val="E99EDF0E"/>
    <w:lvl w:ilvl="0" w:tplc="06122496">
      <w:start w:val="36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203D8B"/>
    <w:multiLevelType w:val="hybridMultilevel"/>
    <w:tmpl w:val="5B4CD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605C02"/>
    <w:multiLevelType w:val="hybridMultilevel"/>
    <w:tmpl w:val="84205410"/>
    <w:lvl w:ilvl="0" w:tplc="36EA115E">
      <w:start w:val="4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6B80BA5"/>
    <w:multiLevelType w:val="hybridMultilevel"/>
    <w:tmpl w:val="E00CE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C30CB2"/>
    <w:multiLevelType w:val="hybridMultilevel"/>
    <w:tmpl w:val="7EC00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C4C210D"/>
    <w:multiLevelType w:val="hybridMultilevel"/>
    <w:tmpl w:val="662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D521C2"/>
    <w:multiLevelType w:val="hybridMultilevel"/>
    <w:tmpl w:val="5B4CD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AD56BE"/>
    <w:multiLevelType w:val="hybridMultilevel"/>
    <w:tmpl w:val="340E728E"/>
    <w:lvl w:ilvl="0" w:tplc="E76484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F64220"/>
    <w:multiLevelType w:val="hybridMultilevel"/>
    <w:tmpl w:val="238AED9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64E560F4"/>
    <w:multiLevelType w:val="hybridMultilevel"/>
    <w:tmpl w:val="92D459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3C3C02"/>
    <w:multiLevelType w:val="hybridMultilevel"/>
    <w:tmpl w:val="EF9A66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493784F"/>
    <w:multiLevelType w:val="hybridMultilevel"/>
    <w:tmpl w:val="7C9A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D97FDF"/>
    <w:multiLevelType w:val="hybridMultilevel"/>
    <w:tmpl w:val="918AC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64165C0"/>
    <w:multiLevelType w:val="hybridMultilevel"/>
    <w:tmpl w:val="58AC4DFE"/>
    <w:lvl w:ilvl="0" w:tplc="8D928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8365C6"/>
    <w:multiLevelType w:val="multilevel"/>
    <w:tmpl w:val="E67CE66C"/>
    <w:numStyleLink w:val="StyleNumberedLeft0cmHanging075cm"/>
  </w:abstractNum>
  <w:num w:numId="1">
    <w:abstractNumId w:val="1"/>
  </w:num>
  <w:num w:numId="2">
    <w:abstractNumId w:val="29"/>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2"/>
  </w:num>
  <w:num w:numId="5">
    <w:abstractNumId w:val="25"/>
  </w:num>
  <w:num w:numId="6">
    <w:abstractNumId w:val="17"/>
  </w:num>
  <w:num w:numId="7">
    <w:abstractNumId w:val="22"/>
  </w:num>
  <w:num w:numId="8">
    <w:abstractNumId w:val="0"/>
  </w:num>
  <w:num w:numId="9">
    <w:abstractNumId w:val="24"/>
  </w:num>
  <w:num w:numId="10">
    <w:abstractNumId w:val="4"/>
  </w:num>
  <w:num w:numId="11">
    <w:abstractNumId w:val="3"/>
  </w:num>
  <w:num w:numId="12">
    <w:abstractNumId w:val="26"/>
  </w:num>
  <w:num w:numId="13">
    <w:abstractNumId w:val="12"/>
  </w:num>
  <w:num w:numId="14">
    <w:abstractNumId w:val="18"/>
  </w:num>
  <w:num w:numId="15">
    <w:abstractNumId w:val="15"/>
  </w:num>
  <w:num w:numId="16">
    <w:abstractNumId w:val="19"/>
  </w:num>
  <w:num w:numId="17">
    <w:abstractNumId w:val="10"/>
  </w:num>
  <w:num w:numId="18">
    <w:abstractNumId w:val="9"/>
  </w:num>
  <w:num w:numId="19">
    <w:abstractNumId w:val="23"/>
  </w:num>
  <w:num w:numId="20">
    <w:abstractNumId w:val="27"/>
  </w:num>
  <w:num w:numId="21">
    <w:abstractNumId w:val="11"/>
  </w:num>
  <w:num w:numId="22">
    <w:abstractNumId w:val="5"/>
  </w:num>
  <w:num w:numId="23">
    <w:abstractNumId w:val="28"/>
  </w:num>
  <w:num w:numId="24">
    <w:abstractNumId w:val="14"/>
  </w:num>
  <w:num w:numId="25">
    <w:abstractNumId w:val="6"/>
  </w:num>
  <w:num w:numId="26">
    <w:abstractNumId w:val="13"/>
  </w:num>
  <w:num w:numId="27">
    <w:abstractNumId w:val="20"/>
  </w:num>
  <w:num w:numId="28">
    <w:abstractNumId w:val="21"/>
  </w:num>
  <w:num w:numId="29">
    <w:abstractNumId w:val="7"/>
  </w:num>
  <w:num w:numId="30">
    <w:abstractNumId w:val="1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T David">
    <w15:presenceInfo w15:providerId="AD" w15:userId="S-1-5-21-38480843-1272404328-111032338-2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48"/>
    <w:rsid w:val="00003BF5"/>
    <w:rsid w:val="000117D4"/>
    <w:rsid w:val="000314D7"/>
    <w:rsid w:val="00045F8B"/>
    <w:rsid w:val="00046D2B"/>
    <w:rsid w:val="00047C9D"/>
    <w:rsid w:val="00056263"/>
    <w:rsid w:val="000623FB"/>
    <w:rsid w:val="00064D8A"/>
    <w:rsid w:val="00064F82"/>
    <w:rsid w:val="00066510"/>
    <w:rsid w:val="000720DF"/>
    <w:rsid w:val="00077523"/>
    <w:rsid w:val="000A486C"/>
    <w:rsid w:val="000C089F"/>
    <w:rsid w:val="000C3928"/>
    <w:rsid w:val="000C5E8E"/>
    <w:rsid w:val="000F4751"/>
    <w:rsid w:val="001043BC"/>
    <w:rsid w:val="0010524C"/>
    <w:rsid w:val="00111FB1"/>
    <w:rsid w:val="00113418"/>
    <w:rsid w:val="00132DDF"/>
    <w:rsid w:val="001356F1"/>
    <w:rsid w:val="00136994"/>
    <w:rsid w:val="0014128E"/>
    <w:rsid w:val="00151888"/>
    <w:rsid w:val="00170A2D"/>
    <w:rsid w:val="001808BC"/>
    <w:rsid w:val="00182B81"/>
    <w:rsid w:val="0018619D"/>
    <w:rsid w:val="00191CF3"/>
    <w:rsid w:val="001A011E"/>
    <w:rsid w:val="001A066A"/>
    <w:rsid w:val="001A13E6"/>
    <w:rsid w:val="001A5731"/>
    <w:rsid w:val="001A7D30"/>
    <w:rsid w:val="001B42C3"/>
    <w:rsid w:val="001C3A6C"/>
    <w:rsid w:val="001C5D5E"/>
    <w:rsid w:val="001C6795"/>
    <w:rsid w:val="001C6C56"/>
    <w:rsid w:val="001D13B2"/>
    <w:rsid w:val="001D678D"/>
    <w:rsid w:val="001E03F8"/>
    <w:rsid w:val="001E1678"/>
    <w:rsid w:val="001E3376"/>
    <w:rsid w:val="001F71A3"/>
    <w:rsid w:val="00205E96"/>
    <w:rsid w:val="002069B3"/>
    <w:rsid w:val="00207B5F"/>
    <w:rsid w:val="00230A9D"/>
    <w:rsid w:val="002329CF"/>
    <w:rsid w:val="00232F5B"/>
    <w:rsid w:val="00234BE1"/>
    <w:rsid w:val="00244E87"/>
    <w:rsid w:val="00247C29"/>
    <w:rsid w:val="0025287B"/>
    <w:rsid w:val="00260467"/>
    <w:rsid w:val="002636CC"/>
    <w:rsid w:val="00263EA3"/>
    <w:rsid w:val="00264652"/>
    <w:rsid w:val="002675C2"/>
    <w:rsid w:val="00284F85"/>
    <w:rsid w:val="00290915"/>
    <w:rsid w:val="002917E1"/>
    <w:rsid w:val="00293E4F"/>
    <w:rsid w:val="0029720A"/>
    <w:rsid w:val="002A22E2"/>
    <w:rsid w:val="002A7B15"/>
    <w:rsid w:val="002C64F7"/>
    <w:rsid w:val="002C70C0"/>
    <w:rsid w:val="002C7650"/>
    <w:rsid w:val="002D2267"/>
    <w:rsid w:val="002E17FD"/>
    <w:rsid w:val="002E4EC4"/>
    <w:rsid w:val="002E5B3F"/>
    <w:rsid w:val="002F41F2"/>
    <w:rsid w:val="002F4E89"/>
    <w:rsid w:val="0030036A"/>
    <w:rsid w:val="00301BF3"/>
    <w:rsid w:val="0030208D"/>
    <w:rsid w:val="00304386"/>
    <w:rsid w:val="00310EF7"/>
    <w:rsid w:val="00315310"/>
    <w:rsid w:val="00323418"/>
    <w:rsid w:val="00330BA1"/>
    <w:rsid w:val="003357BF"/>
    <w:rsid w:val="003461D6"/>
    <w:rsid w:val="003552B7"/>
    <w:rsid w:val="00364FAD"/>
    <w:rsid w:val="003665AD"/>
    <w:rsid w:val="0036738F"/>
    <w:rsid w:val="0036759C"/>
    <w:rsid w:val="00367AE5"/>
    <w:rsid w:val="00367D71"/>
    <w:rsid w:val="00372376"/>
    <w:rsid w:val="00375302"/>
    <w:rsid w:val="0038150A"/>
    <w:rsid w:val="00381684"/>
    <w:rsid w:val="00384235"/>
    <w:rsid w:val="003A5834"/>
    <w:rsid w:val="003B00A1"/>
    <w:rsid w:val="003B6E75"/>
    <w:rsid w:val="003B7DA1"/>
    <w:rsid w:val="003D0379"/>
    <w:rsid w:val="003D2574"/>
    <w:rsid w:val="003D4C59"/>
    <w:rsid w:val="003D6ADF"/>
    <w:rsid w:val="003D6DE5"/>
    <w:rsid w:val="003E0734"/>
    <w:rsid w:val="003F4267"/>
    <w:rsid w:val="003F7EB9"/>
    <w:rsid w:val="00404032"/>
    <w:rsid w:val="004053EB"/>
    <w:rsid w:val="0040736F"/>
    <w:rsid w:val="00412C1F"/>
    <w:rsid w:val="004149D1"/>
    <w:rsid w:val="00421CB2"/>
    <w:rsid w:val="004268B9"/>
    <w:rsid w:val="00433B96"/>
    <w:rsid w:val="004440F1"/>
    <w:rsid w:val="004456DD"/>
    <w:rsid w:val="00446CDF"/>
    <w:rsid w:val="00446F1C"/>
    <w:rsid w:val="004521B7"/>
    <w:rsid w:val="004605C7"/>
    <w:rsid w:val="00462AB5"/>
    <w:rsid w:val="00465EAF"/>
    <w:rsid w:val="004738C5"/>
    <w:rsid w:val="00475C09"/>
    <w:rsid w:val="00491046"/>
    <w:rsid w:val="004A2AC7"/>
    <w:rsid w:val="004A6D2F"/>
    <w:rsid w:val="004B40F3"/>
    <w:rsid w:val="004B5E3D"/>
    <w:rsid w:val="004B6D55"/>
    <w:rsid w:val="004C2887"/>
    <w:rsid w:val="004D2626"/>
    <w:rsid w:val="004D6E26"/>
    <w:rsid w:val="004D77D3"/>
    <w:rsid w:val="004E2959"/>
    <w:rsid w:val="004E2FB5"/>
    <w:rsid w:val="004F20EF"/>
    <w:rsid w:val="0050321C"/>
    <w:rsid w:val="005225D8"/>
    <w:rsid w:val="00527AE7"/>
    <w:rsid w:val="00532B18"/>
    <w:rsid w:val="0053400A"/>
    <w:rsid w:val="00546350"/>
    <w:rsid w:val="0054712D"/>
    <w:rsid w:val="00547EF6"/>
    <w:rsid w:val="005570B5"/>
    <w:rsid w:val="00560C8C"/>
    <w:rsid w:val="00565302"/>
    <w:rsid w:val="00567E18"/>
    <w:rsid w:val="00575F5F"/>
    <w:rsid w:val="00581805"/>
    <w:rsid w:val="00583C72"/>
    <w:rsid w:val="00585F76"/>
    <w:rsid w:val="00593B8F"/>
    <w:rsid w:val="005967BF"/>
    <w:rsid w:val="005A1950"/>
    <w:rsid w:val="005A34E4"/>
    <w:rsid w:val="005A442D"/>
    <w:rsid w:val="005B17F2"/>
    <w:rsid w:val="005B6CAA"/>
    <w:rsid w:val="005B7FB0"/>
    <w:rsid w:val="005C00CB"/>
    <w:rsid w:val="005C35A5"/>
    <w:rsid w:val="005C3B2D"/>
    <w:rsid w:val="005C577C"/>
    <w:rsid w:val="005D0621"/>
    <w:rsid w:val="005D0694"/>
    <w:rsid w:val="005D1E27"/>
    <w:rsid w:val="005D2A3E"/>
    <w:rsid w:val="005E022E"/>
    <w:rsid w:val="005E5215"/>
    <w:rsid w:val="005F41BB"/>
    <w:rsid w:val="005F7F7E"/>
    <w:rsid w:val="00602A98"/>
    <w:rsid w:val="00614693"/>
    <w:rsid w:val="00614848"/>
    <w:rsid w:val="00623C2F"/>
    <w:rsid w:val="00633578"/>
    <w:rsid w:val="006351CA"/>
    <w:rsid w:val="00637068"/>
    <w:rsid w:val="00650811"/>
    <w:rsid w:val="00661D3E"/>
    <w:rsid w:val="00670CFA"/>
    <w:rsid w:val="00692627"/>
    <w:rsid w:val="006969E7"/>
    <w:rsid w:val="006A3643"/>
    <w:rsid w:val="006C2A29"/>
    <w:rsid w:val="006C64CF"/>
    <w:rsid w:val="006D17B1"/>
    <w:rsid w:val="006D4752"/>
    <w:rsid w:val="006D6E1A"/>
    <w:rsid w:val="006D708A"/>
    <w:rsid w:val="006E14C1"/>
    <w:rsid w:val="006E3364"/>
    <w:rsid w:val="006E5C1B"/>
    <w:rsid w:val="006F0292"/>
    <w:rsid w:val="006F074B"/>
    <w:rsid w:val="006F27FA"/>
    <w:rsid w:val="006F416B"/>
    <w:rsid w:val="006F519B"/>
    <w:rsid w:val="0070493D"/>
    <w:rsid w:val="007066D0"/>
    <w:rsid w:val="00713675"/>
    <w:rsid w:val="00713DB7"/>
    <w:rsid w:val="00715823"/>
    <w:rsid w:val="0071687E"/>
    <w:rsid w:val="00737B93"/>
    <w:rsid w:val="007402A1"/>
    <w:rsid w:val="00745BF0"/>
    <w:rsid w:val="007615FE"/>
    <w:rsid w:val="0076655C"/>
    <w:rsid w:val="007742DC"/>
    <w:rsid w:val="00780D48"/>
    <w:rsid w:val="00784397"/>
    <w:rsid w:val="00791437"/>
    <w:rsid w:val="007A5E4E"/>
    <w:rsid w:val="007B0C2C"/>
    <w:rsid w:val="007B278E"/>
    <w:rsid w:val="007B4D46"/>
    <w:rsid w:val="007B70DE"/>
    <w:rsid w:val="007C14B6"/>
    <w:rsid w:val="007C41E7"/>
    <w:rsid w:val="007C5C23"/>
    <w:rsid w:val="007D5A71"/>
    <w:rsid w:val="007E18D7"/>
    <w:rsid w:val="007E2A26"/>
    <w:rsid w:val="007F2348"/>
    <w:rsid w:val="00803F07"/>
    <w:rsid w:val="0080749A"/>
    <w:rsid w:val="00817BE6"/>
    <w:rsid w:val="00821FB8"/>
    <w:rsid w:val="00822ACD"/>
    <w:rsid w:val="00831B35"/>
    <w:rsid w:val="008357B2"/>
    <w:rsid w:val="00855C66"/>
    <w:rsid w:val="00865632"/>
    <w:rsid w:val="00871EE4"/>
    <w:rsid w:val="008749C2"/>
    <w:rsid w:val="00895C35"/>
    <w:rsid w:val="0089705E"/>
    <w:rsid w:val="008A2ADB"/>
    <w:rsid w:val="008A4E39"/>
    <w:rsid w:val="008B1928"/>
    <w:rsid w:val="008B1DE2"/>
    <w:rsid w:val="008B293F"/>
    <w:rsid w:val="008B7371"/>
    <w:rsid w:val="008B74E8"/>
    <w:rsid w:val="008C18CD"/>
    <w:rsid w:val="008D3DDB"/>
    <w:rsid w:val="008E190D"/>
    <w:rsid w:val="008F573F"/>
    <w:rsid w:val="009034EC"/>
    <w:rsid w:val="00905EC2"/>
    <w:rsid w:val="00910E76"/>
    <w:rsid w:val="00910FD8"/>
    <w:rsid w:val="00914134"/>
    <w:rsid w:val="0093067A"/>
    <w:rsid w:val="00941C60"/>
    <w:rsid w:val="00965FD0"/>
    <w:rsid w:val="009664EB"/>
    <w:rsid w:val="00966D42"/>
    <w:rsid w:val="00971689"/>
    <w:rsid w:val="00973E90"/>
    <w:rsid w:val="00975B07"/>
    <w:rsid w:val="00980B4A"/>
    <w:rsid w:val="00981A86"/>
    <w:rsid w:val="00984779"/>
    <w:rsid w:val="009D453C"/>
    <w:rsid w:val="009E1565"/>
    <w:rsid w:val="009E3D0A"/>
    <w:rsid w:val="009E4D5F"/>
    <w:rsid w:val="009E51FC"/>
    <w:rsid w:val="009F1D28"/>
    <w:rsid w:val="009F2A2C"/>
    <w:rsid w:val="009F35F8"/>
    <w:rsid w:val="009F49A2"/>
    <w:rsid w:val="009F7618"/>
    <w:rsid w:val="009F7656"/>
    <w:rsid w:val="00A04D23"/>
    <w:rsid w:val="00A06766"/>
    <w:rsid w:val="00A13765"/>
    <w:rsid w:val="00A143C3"/>
    <w:rsid w:val="00A21B12"/>
    <w:rsid w:val="00A23F80"/>
    <w:rsid w:val="00A33624"/>
    <w:rsid w:val="00A3773A"/>
    <w:rsid w:val="00A46E98"/>
    <w:rsid w:val="00A474C0"/>
    <w:rsid w:val="00A5617B"/>
    <w:rsid w:val="00A6352B"/>
    <w:rsid w:val="00A66DE4"/>
    <w:rsid w:val="00A701B5"/>
    <w:rsid w:val="00A714BB"/>
    <w:rsid w:val="00A92D8F"/>
    <w:rsid w:val="00AA1F72"/>
    <w:rsid w:val="00AB2988"/>
    <w:rsid w:val="00AB2EF4"/>
    <w:rsid w:val="00AB4508"/>
    <w:rsid w:val="00AB7999"/>
    <w:rsid w:val="00AD3292"/>
    <w:rsid w:val="00AE5F2C"/>
    <w:rsid w:val="00AE7AF0"/>
    <w:rsid w:val="00AF424F"/>
    <w:rsid w:val="00B02F29"/>
    <w:rsid w:val="00B24201"/>
    <w:rsid w:val="00B33B34"/>
    <w:rsid w:val="00B36518"/>
    <w:rsid w:val="00B500CA"/>
    <w:rsid w:val="00B5255E"/>
    <w:rsid w:val="00B82006"/>
    <w:rsid w:val="00B856F6"/>
    <w:rsid w:val="00B86314"/>
    <w:rsid w:val="00B90843"/>
    <w:rsid w:val="00B94A3A"/>
    <w:rsid w:val="00BA0F96"/>
    <w:rsid w:val="00BA1C2E"/>
    <w:rsid w:val="00BA1CB5"/>
    <w:rsid w:val="00BB722D"/>
    <w:rsid w:val="00BC200B"/>
    <w:rsid w:val="00BC4756"/>
    <w:rsid w:val="00BC69A4"/>
    <w:rsid w:val="00BE0680"/>
    <w:rsid w:val="00BE305F"/>
    <w:rsid w:val="00BE5C7D"/>
    <w:rsid w:val="00BE7BA3"/>
    <w:rsid w:val="00BF350C"/>
    <w:rsid w:val="00BF41F6"/>
    <w:rsid w:val="00BF5682"/>
    <w:rsid w:val="00BF5FFA"/>
    <w:rsid w:val="00BF7B09"/>
    <w:rsid w:val="00C20A95"/>
    <w:rsid w:val="00C20DDD"/>
    <w:rsid w:val="00C2692F"/>
    <w:rsid w:val="00C3207C"/>
    <w:rsid w:val="00C400E1"/>
    <w:rsid w:val="00C41187"/>
    <w:rsid w:val="00C44F4D"/>
    <w:rsid w:val="00C5528C"/>
    <w:rsid w:val="00C63C31"/>
    <w:rsid w:val="00C757A0"/>
    <w:rsid w:val="00C760DE"/>
    <w:rsid w:val="00C82630"/>
    <w:rsid w:val="00C85B4E"/>
    <w:rsid w:val="00C86423"/>
    <w:rsid w:val="00C87B9C"/>
    <w:rsid w:val="00C907F7"/>
    <w:rsid w:val="00C92622"/>
    <w:rsid w:val="00CA2103"/>
    <w:rsid w:val="00CA2F3E"/>
    <w:rsid w:val="00CA747F"/>
    <w:rsid w:val="00CB0338"/>
    <w:rsid w:val="00CB6B99"/>
    <w:rsid w:val="00CB7B88"/>
    <w:rsid w:val="00CC42CC"/>
    <w:rsid w:val="00CD4025"/>
    <w:rsid w:val="00CE35E8"/>
    <w:rsid w:val="00CE4C87"/>
    <w:rsid w:val="00CE544A"/>
    <w:rsid w:val="00CE7E27"/>
    <w:rsid w:val="00D11E1C"/>
    <w:rsid w:val="00D1272D"/>
    <w:rsid w:val="00D160B0"/>
    <w:rsid w:val="00D17F94"/>
    <w:rsid w:val="00D223FC"/>
    <w:rsid w:val="00D26D1E"/>
    <w:rsid w:val="00D474CF"/>
    <w:rsid w:val="00D5547E"/>
    <w:rsid w:val="00D62F60"/>
    <w:rsid w:val="00D82D6C"/>
    <w:rsid w:val="00D869A1"/>
    <w:rsid w:val="00DA413F"/>
    <w:rsid w:val="00DA43DB"/>
    <w:rsid w:val="00DA4584"/>
    <w:rsid w:val="00DA614B"/>
    <w:rsid w:val="00DC3060"/>
    <w:rsid w:val="00DD7FF2"/>
    <w:rsid w:val="00DE0FB2"/>
    <w:rsid w:val="00DF093E"/>
    <w:rsid w:val="00DF672F"/>
    <w:rsid w:val="00DF6CF8"/>
    <w:rsid w:val="00E01F42"/>
    <w:rsid w:val="00E04CA2"/>
    <w:rsid w:val="00E14AAC"/>
    <w:rsid w:val="00E206D6"/>
    <w:rsid w:val="00E21B1E"/>
    <w:rsid w:val="00E3366E"/>
    <w:rsid w:val="00E3780B"/>
    <w:rsid w:val="00E44CBF"/>
    <w:rsid w:val="00E450E3"/>
    <w:rsid w:val="00E4732E"/>
    <w:rsid w:val="00E52086"/>
    <w:rsid w:val="00E543A6"/>
    <w:rsid w:val="00E60479"/>
    <w:rsid w:val="00E61D73"/>
    <w:rsid w:val="00E62019"/>
    <w:rsid w:val="00E7079F"/>
    <w:rsid w:val="00E73684"/>
    <w:rsid w:val="00E818D6"/>
    <w:rsid w:val="00E84578"/>
    <w:rsid w:val="00E84765"/>
    <w:rsid w:val="00E87F7A"/>
    <w:rsid w:val="00E91676"/>
    <w:rsid w:val="00E96BD7"/>
    <w:rsid w:val="00EA0DB1"/>
    <w:rsid w:val="00EA0EE9"/>
    <w:rsid w:val="00EA6873"/>
    <w:rsid w:val="00EB0BC7"/>
    <w:rsid w:val="00EB7F64"/>
    <w:rsid w:val="00EC15E6"/>
    <w:rsid w:val="00ED3F9E"/>
    <w:rsid w:val="00ED52CA"/>
    <w:rsid w:val="00ED5860"/>
    <w:rsid w:val="00EE35C9"/>
    <w:rsid w:val="00F05ECA"/>
    <w:rsid w:val="00F23515"/>
    <w:rsid w:val="00F26F35"/>
    <w:rsid w:val="00F30F73"/>
    <w:rsid w:val="00F3566E"/>
    <w:rsid w:val="00F375FB"/>
    <w:rsid w:val="00F41AC1"/>
    <w:rsid w:val="00F4367A"/>
    <w:rsid w:val="00F445B1"/>
    <w:rsid w:val="00F45CD4"/>
    <w:rsid w:val="00F525EF"/>
    <w:rsid w:val="00F62CB2"/>
    <w:rsid w:val="00F63141"/>
    <w:rsid w:val="00F66DCA"/>
    <w:rsid w:val="00F74F53"/>
    <w:rsid w:val="00F7606D"/>
    <w:rsid w:val="00F80467"/>
    <w:rsid w:val="00F81670"/>
    <w:rsid w:val="00F82024"/>
    <w:rsid w:val="00F873C6"/>
    <w:rsid w:val="00F92F56"/>
    <w:rsid w:val="00F95BC9"/>
    <w:rsid w:val="00FA0BBE"/>
    <w:rsid w:val="00FA624C"/>
    <w:rsid w:val="00FC6127"/>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semiHidden/>
    <w:unhideWhenUsed/>
    <w:rsid w:val="00865632"/>
    <w:pPr>
      <w:spacing w:after="0"/>
    </w:pPr>
    <w:rPr>
      <w:sz w:val="20"/>
      <w:szCs w:val="20"/>
    </w:rPr>
  </w:style>
  <w:style w:type="character" w:customStyle="1" w:styleId="FootnoteTextChar">
    <w:name w:val="Footnote Text Char"/>
    <w:basedOn w:val="DefaultParagraphFont"/>
    <w:link w:val="FootnoteText"/>
    <w:uiPriority w:val="99"/>
    <w:semiHidden/>
    <w:rsid w:val="00865632"/>
    <w:rPr>
      <w:color w:val="000000"/>
    </w:rPr>
  </w:style>
  <w:style w:type="character" w:styleId="FootnoteReference">
    <w:name w:val="footnote reference"/>
    <w:basedOn w:val="DefaultParagraphFont"/>
    <w:uiPriority w:val="99"/>
    <w:semiHidden/>
    <w:unhideWhenUsed/>
    <w:rsid w:val="008656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semiHidden/>
    <w:unhideWhenUsed/>
    <w:rsid w:val="00865632"/>
    <w:pPr>
      <w:spacing w:after="0"/>
    </w:pPr>
    <w:rPr>
      <w:sz w:val="20"/>
      <w:szCs w:val="20"/>
    </w:rPr>
  </w:style>
  <w:style w:type="character" w:customStyle="1" w:styleId="FootnoteTextChar">
    <w:name w:val="Footnote Text Char"/>
    <w:basedOn w:val="DefaultParagraphFont"/>
    <w:link w:val="FootnoteText"/>
    <w:uiPriority w:val="99"/>
    <w:semiHidden/>
    <w:rsid w:val="00865632"/>
    <w:rPr>
      <w:color w:val="000000"/>
    </w:rPr>
  </w:style>
  <w:style w:type="character" w:styleId="FootnoteReference">
    <w:name w:val="footnote reference"/>
    <w:basedOn w:val="DefaultParagraphFont"/>
    <w:uiPriority w:val="99"/>
    <w:semiHidden/>
    <w:unhideWhenUsed/>
    <w:rsid w:val="00865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8091954">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10291879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70875905">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9C22-6792-4591-88B9-17869453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7</TotalTime>
  <Pages>13</Pages>
  <Words>5013</Words>
  <Characters>25970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Dave.Scholes</dc:creator>
  <cp:lastModifiedBy>JMitchell</cp:lastModifiedBy>
  <cp:revision>5</cp:revision>
  <cp:lastPrinted>2019-09-05T17:52:00Z</cp:lastPrinted>
  <dcterms:created xsi:type="dcterms:W3CDTF">2019-09-17T15:46:00Z</dcterms:created>
  <dcterms:modified xsi:type="dcterms:W3CDTF">2019-09-26T08:39:00Z</dcterms:modified>
</cp:coreProperties>
</file>